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2030" w14:textId="2EBEAA7D" w:rsidR="006F3307" w:rsidRPr="006F3307" w:rsidRDefault="00495C0B" w:rsidP="006F3307">
      <w:pPr>
        <w:pBdr>
          <w:bottom w:val="single" w:sz="4" w:space="1" w:color="000000"/>
        </w:pBdr>
        <w:spacing w:after="200" w:line="240" w:lineRule="auto"/>
        <w:rPr>
          <w:rFonts w:ascii="Times New Roman" w:eastAsia="Times New Roman" w:hAnsi="Times New Roman" w:cs="Times New Roman"/>
          <w:sz w:val="24"/>
          <w:szCs w:val="24"/>
        </w:rPr>
      </w:pPr>
      <w:r w:rsidRPr="00495C0B">
        <w:rPr>
          <w:rFonts w:ascii="Calibri" w:eastAsia="Times New Roman" w:hAnsi="Calibri" w:cs="Calibri"/>
          <w:color w:val="000000"/>
          <w:sz w:val="52"/>
          <w:szCs w:val="52"/>
          <w:lang w:val="fr-BE"/>
        </w:rPr>
        <w:t>Les MICI</w:t>
      </w:r>
      <w:r w:rsidR="006F3307" w:rsidRPr="006F3307">
        <w:rPr>
          <w:rFonts w:ascii="Calibri" w:eastAsia="Times New Roman" w:hAnsi="Calibri" w:cs="Calibri"/>
          <w:color w:val="000000"/>
          <w:sz w:val="52"/>
          <w:szCs w:val="52"/>
        </w:rPr>
        <w:t xml:space="preserve">, </w:t>
      </w:r>
      <w:r w:rsidRPr="00495C0B">
        <w:rPr>
          <w:rFonts w:ascii="Calibri" w:eastAsia="Times New Roman" w:hAnsi="Calibri" w:cs="Calibri"/>
          <w:color w:val="000000"/>
          <w:sz w:val="52"/>
          <w:szCs w:val="52"/>
          <w:lang w:val="fr-BE"/>
        </w:rPr>
        <w:t xml:space="preserve">la fertilité et la grossesse </w:t>
      </w:r>
    </w:p>
    <w:p w14:paraId="627A94F2"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0473E9C9" w14:textId="6D8014BC" w:rsidR="006F3307" w:rsidRPr="006F3307" w:rsidRDefault="006F3307" w:rsidP="006F3307">
      <w:pPr>
        <w:spacing w:after="200" w:line="240" w:lineRule="auto"/>
        <w:jc w:val="both"/>
        <w:rPr>
          <w:rFonts w:ascii="Cambria" w:eastAsia="Times New Roman" w:hAnsi="Cambria" w:cs="Times New Roman"/>
        </w:rPr>
      </w:pPr>
      <w:r w:rsidRPr="00495C0B">
        <w:rPr>
          <w:rFonts w:ascii="Cambria" w:eastAsia="Times New Roman" w:hAnsi="Cambria" w:cs="Times New Roman"/>
        </w:rPr>
        <w:t>La maladie de Crohn et la colite ulcéreuse (M</w:t>
      </w:r>
      <w:r w:rsidRPr="00495C0B">
        <w:rPr>
          <w:rFonts w:ascii="Cambria" w:eastAsia="Times New Roman" w:hAnsi="Cambria" w:cs="Times New Roman"/>
          <w:lang w:val="fr-BE"/>
        </w:rPr>
        <w:t>I</w:t>
      </w:r>
      <w:r w:rsidRPr="00495C0B">
        <w:rPr>
          <w:rFonts w:ascii="Cambria" w:eastAsia="Times New Roman" w:hAnsi="Cambria" w:cs="Times New Roman"/>
        </w:rPr>
        <w:t>CI</w:t>
      </w:r>
      <w:r w:rsidR="00D6211C" w:rsidRPr="00D6211C">
        <w:rPr>
          <w:rFonts w:ascii="Cambria" w:eastAsia="Times New Roman" w:hAnsi="Cambria" w:cs="Times New Roman"/>
          <w:lang w:val="fr-BE"/>
        </w:rPr>
        <w:t>,</w:t>
      </w:r>
      <w:r w:rsidR="00D6211C">
        <w:rPr>
          <w:rFonts w:ascii="Cambria" w:eastAsia="Times New Roman" w:hAnsi="Cambria" w:cs="Times New Roman"/>
          <w:lang w:val="fr-BE"/>
        </w:rPr>
        <w:t xml:space="preserve"> maladies inflammatoires chroniques de l’intestin</w:t>
      </w:r>
      <w:r w:rsidRPr="00495C0B">
        <w:rPr>
          <w:rFonts w:ascii="Cambria" w:eastAsia="Times New Roman" w:hAnsi="Cambria" w:cs="Times New Roman"/>
        </w:rPr>
        <w:t>) apparaissent souvent à un jeune âge. La grossesse et la sexualité sont donc des sujets importants.</w:t>
      </w:r>
    </w:p>
    <w:p w14:paraId="079A2F35"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48ECC79E" w14:textId="18EC138B" w:rsidR="006F3307" w:rsidRPr="00495C0B" w:rsidRDefault="00495C0B" w:rsidP="00495C0B">
      <w:pPr>
        <w:spacing w:after="200" w:line="240" w:lineRule="auto"/>
        <w:jc w:val="both"/>
        <w:rPr>
          <w:rFonts w:ascii="Cambria" w:eastAsia="Times New Roman" w:hAnsi="Cambria" w:cs="Times New Roman"/>
          <w:b/>
          <w:bCs/>
        </w:rPr>
      </w:pPr>
      <w:r w:rsidRPr="00495C0B">
        <w:rPr>
          <w:rFonts w:ascii="Cambria" w:eastAsia="Times New Roman" w:hAnsi="Cambria" w:cs="Times New Roman"/>
          <w:b/>
          <w:bCs/>
          <w:lang w:val="fr-BE"/>
        </w:rPr>
        <w:t xml:space="preserve">LA </w:t>
      </w:r>
      <w:r w:rsidR="006F3307" w:rsidRPr="00495C0B">
        <w:rPr>
          <w:rFonts w:ascii="Cambria" w:eastAsia="Times New Roman" w:hAnsi="Cambria" w:cs="Times New Roman"/>
          <w:b/>
          <w:bCs/>
        </w:rPr>
        <w:t>FERTILITÉ</w:t>
      </w:r>
    </w:p>
    <w:p w14:paraId="52E44CCB" w14:textId="702A9815" w:rsidR="006F3307" w:rsidRPr="006F3307" w:rsidRDefault="006F3307" w:rsidP="006F3307">
      <w:pPr>
        <w:spacing w:after="0" w:line="240" w:lineRule="auto"/>
        <w:ind w:left="360"/>
        <w:jc w:val="both"/>
        <w:rPr>
          <w:rFonts w:ascii="Cambria" w:eastAsia="Times New Roman" w:hAnsi="Cambria" w:cs="Times New Roman"/>
        </w:rPr>
      </w:pPr>
      <w:r w:rsidRPr="00495C0B">
        <w:rPr>
          <w:rFonts w:ascii="Cambria" w:eastAsia="Times New Roman" w:hAnsi="Cambria" w:cs="Times New Roman"/>
        </w:rPr>
        <w:t>Les MICI en soi ne sont pas associées à une fertilité réduite, mais un certain nombre de facteurs peuvent affecter la reproduction ou la fertilité : l'activité de la maladie, l'utilisation de certains médicaments et les interventions chirurgicales</w:t>
      </w:r>
      <w:r w:rsidR="00885945" w:rsidRPr="00886EA6">
        <w:rPr>
          <w:rFonts w:ascii="Cambria" w:eastAsia="Times New Roman" w:hAnsi="Cambria" w:cs="Times New Roman"/>
          <w:lang w:val="fr-BE"/>
        </w:rPr>
        <w:t>.</w:t>
      </w:r>
    </w:p>
    <w:p w14:paraId="3EB2C427"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5B3293A1" w14:textId="77777777" w:rsidR="006F3307" w:rsidRPr="00495C0B" w:rsidRDefault="006F3307" w:rsidP="006F3307">
      <w:pPr>
        <w:spacing w:after="0" w:line="240" w:lineRule="auto"/>
        <w:ind w:left="720"/>
        <w:jc w:val="both"/>
        <w:rPr>
          <w:rFonts w:ascii="Cambria" w:eastAsia="Times New Roman" w:hAnsi="Cambria" w:cs="Times New Roman"/>
          <w:b/>
          <w:bCs/>
        </w:rPr>
      </w:pPr>
      <w:r w:rsidRPr="00495C0B">
        <w:rPr>
          <w:rFonts w:ascii="Cambria" w:eastAsia="Times New Roman" w:hAnsi="Cambria" w:cs="Times New Roman"/>
          <w:b/>
          <w:bCs/>
        </w:rPr>
        <w:t>Activité de la maladie</w:t>
      </w:r>
    </w:p>
    <w:p w14:paraId="3E566E11" w14:textId="2D195B96" w:rsidR="006F3307" w:rsidRPr="00495C0B" w:rsidRDefault="006F3307" w:rsidP="006F3307">
      <w:pPr>
        <w:spacing w:after="0" w:line="240" w:lineRule="auto"/>
        <w:ind w:left="720"/>
        <w:jc w:val="both"/>
        <w:rPr>
          <w:rFonts w:ascii="Cambria" w:eastAsia="Times New Roman" w:hAnsi="Cambria" w:cs="Times New Roman"/>
        </w:rPr>
      </w:pPr>
      <w:r w:rsidRPr="00495C0B">
        <w:rPr>
          <w:rFonts w:ascii="Cambria" w:eastAsia="Times New Roman" w:hAnsi="Cambria" w:cs="Times New Roman"/>
        </w:rPr>
        <w:t>Lorsque la maladie intestinale est active, elle peut s'accompagner d'une baisse de la fertilité, tant chez les hommes que chez les femmes. L</w:t>
      </w:r>
      <w:r w:rsidRPr="00495C0B">
        <w:rPr>
          <w:rFonts w:ascii="Cambria" w:eastAsia="Times New Roman" w:hAnsi="Cambria" w:cs="Times New Roman"/>
          <w:lang w:val="fr-BE"/>
        </w:rPr>
        <w:t>’amaigrissement</w:t>
      </w:r>
      <w:r w:rsidRPr="00495C0B">
        <w:rPr>
          <w:rFonts w:ascii="Cambria" w:eastAsia="Times New Roman" w:hAnsi="Cambria" w:cs="Times New Roman"/>
        </w:rPr>
        <w:t xml:space="preserve">, la perte ou la réduction de l'absorption de vitamines et de nutriments, et l'absence de menstruation peuvent réduire les chances de grossesse. La fatigue, la dépression ou la baisse de la libido peuvent également avoir une incidence. La </w:t>
      </w:r>
      <w:proofErr w:type="spellStart"/>
      <w:r w:rsidRPr="00495C0B">
        <w:rPr>
          <w:rFonts w:ascii="Cambria" w:eastAsia="Times New Roman" w:hAnsi="Cambria" w:cs="Times New Roman"/>
        </w:rPr>
        <w:t>maladie</w:t>
      </w:r>
      <w:proofErr w:type="spellEnd"/>
      <w:r w:rsidRPr="00495C0B">
        <w:rPr>
          <w:rFonts w:ascii="Cambria" w:eastAsia="Times New Roman" w:hAnsi="Cambria" w:cs="Times New Roman"/>
        </w:rPr>
        <w:t xml:space="preserve"> de Crohn </w:t>
      </w:r>
      <w:proofErr w:type="spellStart"/>
      <w:r w:rsidRPr="00495C0B">
        <w:rPr>
          <w:rFonts w:ascii="Cambria" w:eastAsia="Times New Roman" w:hAnsi="Cambria" w:cs="Times New Roman"/>
        </w:rPr>
        <w:t>peut</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également</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entraîner</w:t>
      </w:r>
      <w:proofErr w:type="spellEnd"/>
      <w:r w:rsidRPr="00495C0B">
        <w:rPr>
          <w:rFonts w:ascii="Cambria" w:eastAsia="Times New Roman" w:hAnsi="Cambria" w:cs="Times New Roman"/>
        </w:rPr>
        <w:t xml:space="preserve"> la formation de </w:t>
      </w:r>
      <w:proofErr w:type="spellStart"/>
      <w:r w:rsidRPr="00495C0B">
        <w:rPr>
          <w:rFonts w:ascii="Cambria" w:eastAsia="Times New Roman" w:hAnsi="Cambria" w:cs="Times New Roman"/>
        </w:rPr>
        <w:t>fistules</w:t>
      </w:r>
      <w:proofErr w:type="spellEnd"/>
      <w:r w:rsidRPr="00495C0B">
        <w:rPr>
          <w:rFonts w:ascii="Cambria" w:eastAsia="Times New Roman" w:hAnsi="Cambria" w:cs="Times New Roman"/>
        </w:rPr>
        <w:t xml:space="preserve"> </w:t>
      </w:r>
      <w:r w:rsidR="00885945" w:rsidRPr="00886EA6">
        <w:rPr>
          <w:rFonts w:ascii="Cambria" w:eastAsia="Times New Roman" w:hAnsi="Cambria" w:cs="Times New Roman"/>
          <w:lang w:val="fr-BE"/>
        </w:rPr>
        <w:t>dans la région péri</w:t>
      </w:r>
      <w:r w:rsidR="00885945">
        <w:rPr>
          <w:rFonts w:ascii="Cambria" w:eastAsia="Times New Roman" w:hAnsi="Cambria" w:cs="Times New Roman"/>
          <w:lang w:val="fr-BE"/>
        </w:rPr>
        <w:t>néale</w:t>
      </w:r>
      <w:r w:rsidRPr="00495C0B">
        <w:rPr>
          <w:rFonts w:ascii="Cambria" w:eastAsia="Times New Roman" w:hAnsi="Cambria" w:cs="Times New Roman"/>
        </w:rPr>
        <w:t xml:space="preserve">, ce qui peut provoquer des douleurs lors des rapports sexuels. </w:t>
      </w:r>
    </w:p>
    <w:p w14:paraId="288A5BD6"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03AA1373" w14:textId="77777777" w:rsidR="008A2908" w:rsidRPr="00495C0B" w:rsidRDefault="008A2908" w:rsidP="008A2908">
      <w:pPr>
        <w:spacing w:after="0" w:line="240" w:lineRule="auto"/>
        <w:ind w:left="720"/>
        <w:jc w:val="both"/>
        <w:rPr>
          <w:rFonts w:ascii="Cambria" w:eastAsia="Times New Roman" w:hAnsi="Cambria" w:cs="Times New Roman"/>
          <w:b/>
          <w:bCs/>
        </w:rPr>
      </w:pPr>
      <w:r w:rsidRPr="00495C0B">
        <w:rPr>
          <w:rFonts w:ascii="Cambria" w:eastAsia="Times New Roman" w:hAnsi="Cambria" w:cs="Times New Roman"/>
          <w:b/>
          <w:bCs/>
        </w:rPr>
        <w:t>Médicaments</w:t>
      </w:r>
    </w:p>
    <w:p w14:paraId="48BFD4E8" w14:textId="252B3F60" w:rsidR="008A2908" w:rsidRPr="006F3307" w:rsidRDefault="008A2908" w:rsidP="008A2908">
      <w:pPr>
        <w:spacing w:after="0" w:line="240" w:lineRule="auto"/>
        <w:ind w:left="720"/>
        <w:jc w:val="both"/>
        <w:rPr>
          <w:rFonts w:ascii="Cambria" w:eastAsia="Times New Roman" w:hAnsi="Cambria" w:cs="Times New Roman"/>
        </w:rPr>
      </w:pPr>
      <w:r w:rsidRPr="00495C0B">
        <w:rPr>
          <w:rFonts w:ascii="Cambria" w:eastAsia="Times New Roman" w:hAnsi="Cambria" w:cs="Times New Roman"/>
        </w:rPr>
        <w:t xml:space="preserve">La plupart des traitements n'affectent pas la fertilité. Seule la </w:t>
      </w:r>
      <w:r w:rsidRPr="00046A35">
        <w:rPr>
          <w:rFonts w:ascii="Cambria" w:eastAsia="Times New Roman" w:hAnsi="Cambria" w:cs="Times New Roman"/>
          <w:u w:val="single"/>
        </w:rPr>
        <w:t>sulfasalazine (Salazopyrine®)</w:t>
      </w:r>
      <w:r w:rsidRPr="00495C0B">
        <w:rPr>
          <w:rFonts w:ascii="Cambria" w:eastAsia="Times New Roman" w:hAnsi="Cambria" w:cs="Times New Roman"/>
        </w:rPr>
        <w:t xml:space="preserve"> peut réduire la fertilité chez l'homme car elle provoque des anomalies des spermatozoïdes. Heureusement, cet effet secondaire est réversible. Les </w:t>
      </w:r>
      <w:r w:rsidRPr="00046A35">
        <w:rPr>
          <w:rFonts w:ascii="Cambria" w:eastAsia="Times New Roman" w:hAnsi="Cambria" w:cs="Times New Roman"/>
          <w:u w:val="single"/>
        </w:rPr>
        <w:t>corticostéroïdes</w:t>
      </w:r>
      <w:r w:rsidRPr="00495C0B">
        <w:rPr>
          <w:rFonts w:ascii="Cambria" w:eastAsia="Times New Roman" w:hAnsi="Cambria" w:cs="Times New Roman"/>
        </w:rPr>
        <w:t xml:space="preserve"> (par exemple Medrol®, Entocort®, Budenofalk®, Clipper®) peuvent affecter la quantité et la motilité (le </w:t>
      </w:r>
      <w:proofErr w:type="spellStart"/>
      <w:r w:rsidRPr="00495C0B">
        <w:rPr>
          <w:rFonts w:ascii="Cambria" w:eastAsia="Times New Roman" w:hAnsi="Cambria" w:cs="Times New Roman"/>
        </w:rPr>
        <w:t>mouvement</w:t>
      </w:r>
      <w:proofErr w:type="spellEnd"/>
      <w:r w:rsidRPr="00495C0B">
        <w:rPr>
          <w:rFonts w:ascii="Cambria" w:eastAsia="Times New Roman" w:hAnsi="Cambria" w:cs="Times New Roman"/>
        </w:rPr>
        <w:t xml:space="preserve">) des </w:t>
      </w:r>
      <w:proofErr w:type="spellStart"/>
      <w:r w:rsidRPr="00495C0B">
        <w:rPr>
          <w:rFonts w:ascii="Cambria" w:eastAsia="Times New Roman" w:hAnsi="Cambria" w:cs="Times New Roman"/>
        </w:rPr>
        <w:t>spermatozoïdes</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mais</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n'entraînent</w:t>
      </w:r>
      <w:proofErr w:type="spellEnd"/>
      <w:r w:rsidRPr="00495C0B">
        <w:rPr>
          <w:rFonts w:ascii="Cambria" w:eastAsia="Times New Roman" w:hAnsi="Cambria" w:cs="Times New Roman"/>
        </w:rPr>
        <w:t xml:space="preserve"> pas souvent une baisse de la fertilité. Le </w:t>
      </w:r>
      <w:proofErr w:type="spellStart"/>
      <w:r w:rsidR="00BC3414" w:rsidRPr="00046A35">
        <w:rPr>
          <w:rFonts w:ascii="Cambria" w:eastAsia="Times New Roman" w:hAnsi="Cambria" w:cs="Times New Roman"/>
          <w:u w:val="single"/>
          <w:lang w:val="fr-BE"/>
        </w:rPr>
        <w:t>ledertrexate</w:t>
      </w:r>
      <w:proofErr w:type="spellEnd"/>
      <w:r w:rsidRPr="00046A35">
        <w:rPr>
          <w:rFonts w:ascii="Cambria" w:eastAsia="Times New Roman" w:hAnsi="Cambria" w:cs="Times New Roman"/>
          <w:u w:val="single"/>
        </w:rPr>
        <w:t xml:space="preserve"> </w:t>
      </w:r>
      <w:r w:rsidRPr="00495C0B">
        <w:rPr>
          <w:rFonts w:ascii="Cambria" w:eastAsia="Times New Roman" w:hAnsi="Cambria" w:cs="Times New Roman"/>
        </w:rPr>
        <w:t xml:space="preserve">(Methotrexate®) doit </w:t>
      </w:r>
      <w:r w:rsidR="00885945" w:rsidRPr="00886EA6">
        <w:rPr>
          <w:rFonts w:ascii="Cambria" w:eastAsia="Times New Roman" w:hAnsi="Cambria" w:cs="Times New Roman"/>
          <w:lang w:val="fr-BE"/>
        </w:rPr>
        <w:t>ab</w:t>
      </w:r>
      <w:r w:rsidR="00885945">
        <w:rPr>
          <w:rFonts w:ascii="Cambria" w:eastAsia="Times New Roman" w:hAnsi="Cambria" w:cs="Times New Roman"/>
          <w:lang w:val="fr-BE"/>
        </w:rPr>
        <w:t xml:space="preserve">solument </w:t>
      </w:r>
      <w:proofErr w:type="spellStart"/>
      <w:r w:rsidRPr="00495C0B">
        <w:rPr>
          <w:rFonts w:ascii="Cambria" w:eastAsia="Times New Roman" w:hAnsi="Cambria" w:cs="Times New Roman"/>
        </w:rPr>
        <w:t>être</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évité</w:t>
      </w:r>
      <w:proofErr w:type="spellEnd"/>
      <w:r w:rsidRPr="00495C0B">
        <w:rPr>
          <w:rFonts w:ascii="Cambria" w:eastAsia="Times New Roman" w:hAnsi="Cambria" w:cs="Times New Roman"/>
        </w:rPr>
        <w:t xml:space="preserve">, tant chez les hommes que chez les femmes. </w:t>
      </w:r>
      <w:r w:rsidR="00885945" w:rsidRPr="00886EA6">
        <w:rPr>
          <w:rFonts w:ascii="Cambria" w:eastAsia="Times New Roman" w:hAnsi="Cambria" w:cs="Times New Roman"/>
          <w:lang w:val="fr-BE"/>
        </w:rPr>
        <w:t>Il n</w:t>
      </w:r>
      <w:r w:rsidR="00885945">
        <w:rPr>
          <w:rFonts w:ascii="Cambria" w:eastAsia="Times New Roman" w:hAnsi="Cambria" w:cs="Times New Roman"/>
          <w:lang w:val="fr-BE"/>
        </w:rPr>
        <w:t>’a pas d’impact sur l</w:t>
      </w:r>
      <w:r w:rsidRPr="00495C0B">
        <w:rPr>
          <w:rFonts w:ascii="Cambria" w:eastAsia="Times New Roman" w:hAnsi="Cambria" w:cs="Times New Roman"/>
        </w:rPr>
        <w:t xml:space="preserve">a </w:t>
      </w:r>
      <w:proofErr w:type="spellStart"/>
      <w:r w:rsidRPr="00495C0B">
        <w:rPr>
          <w:rFonts w:ascii="Cambria" w:eastAsia="Times New Roman" w:hAnsi="Cambria" w:cs="Times New Roman"/>
        </w:rPr>
        <w:t>fertilité</w:t>
      </w:r>
      <w:proofErr w:type="spellEnd"/>
      <w:r w:rsidRPr="00495C0B">
        <w:rPr>
          <w:rFonts w:ascii="Cambria" w:eastAsia="Times New Roman" w:hAnsi="Cambria" w:cs="Times New Roman"/>
        </w:rPr>
        <w:t xml:space="preserve">, </w:t>
      </w:r>
      <w:r w:rsidR="00885945" w:rsidRPr="00886EA6">
        <w:rPr>
          <w:rFonts w:ascii="Cambria" w:eastAsia="Times New Roman" w:hAnsi="Cambria" w:cs="Times New Roman"/>
          <w:lang w:val="fr-BE"/>
        </w:rPr>
        <w:t>mais</w:t>
      </w:r>
      <w:r w:rsidRPr="00495C0B">
        <w:rPr>
          <w:rFonts w:ascii="Cambria" w:eastAsia="Times New Roman" w:hAnsi="Cambria" w:cs="Times New Roman"/>
        </w:rPr>
        <w:t xml:space="preserve"> </w:t>
      </w:r>
      <w:proofErr w:type="spellStart"/>
      <w:r w:rsidRPr="00495C0B">
        <w:rPr>
          <w:rFonts w:ascii="Cambria" w:eastAsia="Times New Roman" w:hAnsi="Cambria" w:cs="Times New Roman"/>
        </w:rPr>
        <w:t>peut</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provoquer</w:t>
      </w:r>
      <w:proofErr w:type="spellEnd"/>
      <w:r w:rsidRPr="00495C0B">
        <w:rPr>
          <w:rFonts w:ascii="Cambria" w:eastAsia="Times New Roman" w:hAnsi="Cambria" w:cs="Times New Roman"/>
        </w:rPr>
        <w:t xml:space="preserve"> de graves </w:t>
      </w:r>
      <w:r w:rsidR="00885945" w:rsidRPr="00886EA6">
        <w:rPr>
          <w:rFonts w:ascii="Cambria" w:eastAsia="Times New Roman" w:hAnsi="Cambria" w:cs="Times New Roman"/>
          <w:lang w:val="fr-BE"/>
        </w:rPr>
        <w:t>mal</w:t>
      </w:r>
      <w:r w:rsidR="00885945">
        <w:rPr>
          <w:rFonts w:ascii="Cambria" w:eastAsia="Times New Roman" w:hAnsi="Cambria" w:cs="Times New Roman"/>
          <w:lang w:val="fr-BE"/>
        </w:rPr>
        <w:t>formations</w:t>
      </w:r>
      <w:r w:rsidRPr="00495C0B">
        <w:rPr>
          <w:rFonts w:ascii="Cambria" w:eastAsia="Times New Roman" w:hAnsi="Cambria" w:cs="Times New Roman"/>
        </w:rPr>
        <w:t xml:space="preserve"> chez le </w:t>
      </w:r>
      <w:proofErr w:type="spellStart"/>
      <w:r w:rsidRPr="00495C0B">
        <w:rPr>
          <w:rFonts w:ascii="Cambria" w:eastAsia="Times New Roman" w:hAnsi="Cambria" w:cs="Times New Roman"/>
        </w:rPr>
        <w:t>fœtus</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ou</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entraîner</w:t>
      </w:r>
      <w:proofErr w:type="spellEnd"/>
      <w:r w:rsidRPr="00495C0B">
        <w:rPr>
          <w:rFonts w:ascii="Cambria" w:eastAsia="Times New Roman" w:hAnsi="Cambria" w:cs="Times New Roman"/>
        </w:rPr>
        <w:t xml:space="preserve"> des </w:t>
      </w:r>
      <w:proofErr w:type="spellStart"/>
      <w:r w:rsidRPr="00495C0B">
        <w:rPr>
          <w:rFonts w:ascii="Cambria" w:eastAsia="Times New Roman" w:hAnsi="Cambria" w:cs="Times New Roman"/>
        </w:rPr>
        <w:t>fausses</w:t>
      </w:r>
      <w:proofErr w:type="spellEnd"/>
      <w:r w:rsidRPr="00495C0B">
        <w:rPr>
          <w:rFonts w:ascii="Cambria" w:eastAsia="Times New Roman" w:hAnsi="Cambria" w:cs="Times New Roman"/>
        </w:rPr>
        <w:t xml:space="preserve"> couches. Les femmes doivent arrêter ce médicament au moins 6 mois avant la conception et les hommes 3 mois avant la conception. Les </w:t>
      </w:r>
      <w:r w:rsidRPr="00046A35">
        <w:rPr>
          <w:rFonts w:ascii="Cambria" w:eastAsia="Times New Roman" w:hAnsi="Cambria" w:cs="Times New Roman"/>
          <w:u w:val="single"/>
        </w:rPr>
        <w:t>thiopurines</w:t>
      </w:r>
      <w:r w:rsidRPr="00495C0B">
        <w:rPr>
          <w:rFonts w:ascii="Cambria" w:eastAsia="Times New Roman" w:hAnsi="Cambria" w:cs="Times New Roman"/>
        </w:rPr>
        <w:t xml:space="preserve"> telles que l'azathioprine (Imuran®) et la 6-mercaptopurine (Puri-Nethol®) ne semblent pas affecter la fertilité. Bien qu'aucune étude spécifique sur la fertilité n'ait été réalisée avec les traitements </w:t>
      </w:r>
      <w:r w:rsidRPr="00046A35">
        <w:rPr>
          <w:rFonts w:ascii="Cambria" w:eastAsia="Times New Roman" w:hAnsi="Cambria" w:cs="Times New Roman"/>
          <w:u w:val="single"/>
        </w:rPr>
        <w:t>biologiques</w:t>
      </w:r>
      <w:r w:rsidRPr="00495C0B">
        <w:rPr>
          <w:rFonts w:ascii="Cambria" w:eastAsia="Times New Roman" w:hAnsi="Cambria" w:cs="Times New Roman"/>
        </w:rPr>
        <w:t xml:space="preserve"> (par exemple infliximab, adalimumab, vedolizumab, ustekinumab), il est peu probable qu'ils affectent la fertilité. Cependant, la nouvelle classe </w:t>
      </w:r>
      <w:r w:rsidRPr="00046A35">
        <w:rPr>
          <w:rFonts w:ascii="Cambria" w:eastAsia="Times New Roman" w:hAnsi="Cambria" w:cs="Times New Roman"/>
          <w:u w:val="single"/>
        </w:rPr>
        <w:t>d'inhibiteurs de JAK</w:t>
      </w:r>
      <w:r w:rsidRPr="00495C0B">
        <w:rPr>
          <w:rFonts w:ascii="Cambria" w:eastAsia="Times New Roman" w:hAnsi="Cambria" w:cs="Times New Roman"/>
        </w:rPr>
        <w:t xml:space="preserve"> peut réduire la fertilité chez les hommes.</w:t>
      </w:r>
    </w:p>
    <w:p w14:paraId="0BDB5360"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312FF775" w14:textId="77777777" w:rsidR="00495C0B" w:rsidRPr="00495C0B" w:rsidRDefault="00495C0B" w:rsidP="00495C0B">
      <w:pPr>
        <w:spacing w:after="0" w:line="240" w:lineRule="auto"/>
        <w:ind w:left="720"/>
        <w:jc w:val="both"/>
        <w:rPr>
          <w:rFonts w:ascii="Cambria" w:eastAsia="Times New Roman" w:hAnsi="Cambria" w:cs="Times New Roman"/>
          <w:b/>
          <w:bCs/>
        </w:rPr>
      </w:pPr>
      <w:r w:rsidRPr="00495C0B">
        <w:rPr>
          <w:rFonts w:ascii="Cambria" w:eastAsia="Times New Roman" w:hAnsi="Cambria" w:cs="Times New Roman"/>
          <w:b/>
          <w:bCs/>
        </w:rPr>
        <w:t>Opérations</w:t>
      </w:r>
    </w:p>
    <w:p w14:paraId="0D2201CB" w14:textId="0E8C258B" w:rsidR="008A2908" w:rsidRDefault="00495C0B" w:rsidP="00495C0B">
      <w:pPr>
        <w:spacing w:after="0" w:line="240" w:lineRule="auto"/>
        <w:ind w:left="720"/>
        <w:jc w:val="both"/>
        <w:rPr>
          <w:rFonts w:ascii="Cambria" w:eastAsia="Times New Roman" w:hAnsi="Cambria" w:cs="Times New Roman"/>
          <w:lang w:val="fr-BE"/>
        </w:rPr>
      </w:pPr>
      <w:r w:rsidRPr="00495C0B">
        <w:rPr>
          <w:rFonts w:ascii="Cambria" w:eastAsia="Times New Roman" w:hAnsi="Cambria" w:cs="Times New Roman"/>
        </w:rPr>
        <w:t xml:space="preserve">La plupart des opérations de l'intestin n'affectent pas la fertilité. Avec la </w:t>
      </w:r>
      <w:proofErr w:type="spellStart"/>
      <w:r w:rsidRPr="00495C0B">
        <w:rPr>
          <w:rFonts w:ascii="Cambria" w:eastAsia="Times New Roman" w:hAnsi="Cambria" w:cs="Times New Roman"/>
        </w:rPr>
        <w:t>chirurgie</w:t>
      </w:r>
      <w:proofErr w:type="spellEnd"/>
      <w:r w:rsidRPr="00495C0B">
        <w:rPr>
          <w:rFonts w:ascii="Cambria" w:eastAsia="Times New Roman" w:hAnsi="Cambria" w:cs="Times New Roman"/>
        </w:rPr>
        <w:t xml:space="preserve"> </w:t>
      </w:r>
      <w:r w:rsidR="00995DA0" w:rsidRPr="00886EA6">
        <w:rPr>
          <w:rFonts w:ascii="Cambria" w:eastAsia="Times New Roman" w:hAnsi="Cambria" w:cs="Times New Roman"/>
          <w:lang w:val="fr-BE"/>
        </w:rPr>
        <w:t>reconstruisant une poche en J</w:t>
      </w:r>
      <w:r w:rsidRPr="00495C0B">
        <w:rPr>
          <w:rFonts w:ascii="Cambria" w:eastAsia="Times New Roman" w:hAnsi="Cambria" w:cs="Times New Roman"/>
        </w:rPr>
        <w:t xml:space="preserve"> (lorsque, dans le cas de la colite ulcéreuse, le gros intestin est enlevé et que le dernier morceau d'intestin grêle est transformé en un nouveau rectum), du tissu cicatriciel peut apparaître autour des ovaires, ce qui réduit la fertilité. </w:t>
      </w:r>
      <w:proofErr w:type="spellStart"/>
      <w:r w:rsidRPr="00495C0B">
        <w:rPr>
          <w:rFonts w:ascii="Cambria" w:eastAsia="Times New Roman" w:hAnsi="Cambria" w:cs="Times New Roman"/>
        </w:rPr>
        <w:t>C'est</w:t>
      </w:r>
      <w:proofErr w:type="spellEnd"/>
      <w:r w:rsidRPr="00495C0B">
        <w:rPr>
          <w:rFonts w:ascii="Cambria" w:eastAsia="Times New Roman" w:hAnsi="Cambria" w:cs="Times New Roman"/>
        </w:rPr>
        <w:t xml:space="preserve"> </w:t>
      </w:r>
      <w:r w:rsidR="00995DA0" w:rsidRPr="00886EA6">
        <w:rPr>
          <w:rFonts w:ascii="Cambria" w:eastAsia="Times New Roman" w:hAnsi="Cambria" w:cs="Times New Roman"/>
          <w:lang w:val="fr-BE"/>
        </w:rPr>
        <w:t>toute</w:t>
      </w:r>
      <w:r w:rsidR="00995DA0">
        <w:rPr>
          <w:rFonts w:ascii="Cambria" w:eastAsia="Times New Roman" w:hAnsi="Cambria" w:cs="Times New Roman"/>
          <w:lang w:val="fr-BE"/>
        </w:rPr>
        <w:t>fois</w:t>
      </w:r>
      <w:r w:rsidR="00995DA0" w:rsidRPr="00495C0B">
        <w:rPr>
          <w:rFonts w:ascii="Cambria" w:eastAsia="Times New Roman" w:hAnsi="Cambria" w:cs="Times New Roman"/>
        </w:rPr>
        <w:t xml:space="preserve"> </w:t>
      </w:r>
      <w:proofErr w:type="spellStart"/>
      <w:r w:rsidRPr="00495C0B">
        <w:rPr>
          <w:rFonts w:ascii="Cambria" w:eastAsia="Times New Roman" w:hAnsi="Cambria" w:cs="Times New Roman"/>
        </w:rPr>
        <w:t>moins</w:t>
      </w:r>
      <w:proofErr w:type="spellEnd"/>
      <w:r w:rsidRPr="00495C0B">
        <w:rPr>
          <w:rFonts w:ascii="Cambria" w:eastAsia="Times New Roman" w:hAnsi="Cambria" w:cs="Times New Roman"/>
        </w:rPr>
        <w:t xml:space="preserve"> le </w:t>
      </w:r>
      <w:proofErr w:type="spellStart"/>
      <w:r w:rsidRPr="00495C0B">
        <w:rPr>
          <w:rFonts w:ascii="Cambria" w:eastAsia="Times New Roman" w:hAnsi="Cambria" w:cs="Times New Roman"/>
        </w:rPr>
        <w:t>cas</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lorsque</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l'intervention</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est</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réalisée</w:t>
      </w:r>
      <w:proofErr w:type="spellEnd"/>
      <w:r w:rsidRPr="00495C0B">
        <w:rPr>
          <w:rFonts w:ascii="Cambria" w:eastAsia="Times New Roman" w:hAnsi="Cambria" w:cs="Times New Roman"/>
        </w:rPr>
        <w:t xml:space="preserve"> par </w:t>
      </w:r>
      <w:proofErr w:type="spellStart"/>
      <w:r w:rsidRPr="00495C0B">
        <w:rPr>
          <w:rFonts w:ascii="Cambria" w:eastAsia="Times New Roman" w:hAnsi="Cambria" w:cs="Times New Roman"/>
        </w:rPr>
        <w:t>une</w:t>
      </w:r>
      <w:proofErr w:type="spellEnd"/>
      <w:r w:rsidRPr="00495C0B">
        <w:rPr>
          <w:rFonts w:ascii="Cambria" w:eastAsia="Times New Roman" w:hAnsi="Cambria" w:cs="Times New Roman"/>
        </w:rPr>
        <w:t xml:space="preserve"> </w:t>
      </w:r>
      <w:proofErr w:type="spellStart"/>
      <w:r w:rsidRPr="00495C0B">
        <w:rPr>
          <w:rFonts w:ascii="Cambria" w:eastAsia="Times New Roman" w:hAnsi="Cambria" w:cs="Times New Roman"/>
        </w:rPr>
        <w:t>chirurgie</w:t>
      </w:r>
      <w:proofErr w:type="spellEnd"/>
      <w:r w:rsidRPr="00495C0B">
        <w:rPr>
          <w:rFonts w:ascii="Cambria" w:eastAsia="Times New Roman" w:hAnsi="Cambria" w:cs="Times New Roman"/>
        </w:rPr>
        <w:t xml:space="preserve"> </w:t>
      </w:r>
      <w:r w:rsidR="00995DA0" w:rsidRPr="00886EA6">
        <w:rPr>
          <w:rFonts w:ascii="Cambria" w:eastAsia="Times New Roman" w:hAnsi="Cambria" w:cs="Times New Roman"/>
          <w:lang w:val="fr-BE"/>
        </w:rPr>
        <w:t>lapa</w:t>
      </w:r>
      <w:r w:rsidR="00995DA0">
        <w:rPr>
          <w:rFonts w:ascii="Cambria" w:eastAsia="Times New Roman" w:hAnsi="Cambria" w:cs="Times New Roman"/>
          <w:lang w:val="fr-BE"/>
        </w:rPr>
        <w:t>roscopique.</w:t>
      </w:r>
    </w:p>
    <w:p w14:paraId="76D839DC" w14:textId="3C3EE13D" w:rsidR="00995DA0" w:rsidRDefault="00995DA0" w:rsidP="00495C0B">
      <w:pPr>
        <w:spacing w:after="0" w:line="240" w:lineRule="auto"/>
        <w:ind w:left="720"/>
        <w:jc w:val="both"/>
        <w:rPr>
          <w:rFonts w:ascii="Cambria" w:eastAsia="Times New Roman" w:hAnsi="Cambria" w:cs="Times New Roman"/>
          <w:lang w:val="fr-BE"/>
        </w:rPr>
      </w:pPr>
    </w:p>
    <w:p w14:paraId="5353BD3F" w14:textId="157A299C" w:rsidR="00995DA0" w:rsidRDefault="00995DA0" w:rsidP="00495C0B">
      <w:pPr>
        <w:spacing w:after="0" w:line="240" w:lineRule="auto"/>
        <w:ind w:left="720"/>
        <w:jc w:val="both"/>
        <w:rPr>
          <w:rFonts w:ascii="Cambria" w:eastAsia="Times New Roman" w:hAnsi="Cambria" w:cs="Times New Roman"/>
          <w:lang w:val="fr-BE"/>
        </w:rPr>
      </w:pPr>
    </w:p>
    <w:p w14:paraId="0A9B097C" w14:textId="4D0B26F2" w:rsidR="00995DA0" w:rsidRDefault="00995DA0" w:rsidP="00495C0B">
      <w:pPr>
        <w:spacing w:after="0" w:line="240" w:lineRule="auto"/>
        <w:ind w:left="720"/>
        <w:jc w:val="both"/>
        <w:rPr>
          <w:rFonts w:ascii="Cambria" w:eastAsia="Times New Roman" w:hAnsi="Cambria" w:cs="Times New Roman"/>
          <w:lang w:val="fr-BE"/>
        </w:rPr>
      </w:pPr>
    </w:p>
    <w:p w14:paraId="3FE1F891" w14:textId="77777777" w:rsidR="00995DA0" w:rsidRPr="00886EA6" w:rsidRDefault="00995DA0" w:rsidP="00495C0B">
      <w:pPr>
        <w:spacing w:after="0" w:line="240" w:lineRule="auto"/>
        <w:ind w:left="720"/>
        <w:jc w:val="both"/>
        <w:rPr>
          <w:rFonts w:ascii="Cambria" w:eastAsia="Times New Roman" w:hAnsi="Cambria" w:cs="Times New Roman"/>
          <w:lang w:val="fr-BE"/>
        </w:rPr>
      </w:pPr>
    </w:p>
    <w:p w14:paraId="27BDC7C0"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4694F44A" w14:textId="771857B9" w:rsidR="008A2908" w:rsidRPr="006F3307" w:rsidRDefault="00495C0B" w:rsidP="006F3307">
      <w:pPr>
        <w:spacing w:after="200" w:line="240" w:lineRule="auto"/>
        <w:jc w:val="both"/>
        <w:rPr>
          <w:rFonts w:ascii="Times New Roman" w:eastAsia="Times New Roman" w:hAnsi="Times New Roman" w:cs="Times New Roman"/>
          <w:sz w:val="24"/>
          <w:szCs w:val="24"/>
          <w:lang w:val="fr-BE"/>
        </w:rPr>
      </w:pPr>
      <w:r w:rsidRPr="00495C0B">
        <w:rPr>
          <w:rFonts w:ascii="Cambria" w:eastAsia="Times New Roman" w:hAnsi="Cambria" w:cs="Times New Roman"/>
          <w:b/>
          <w:bCs/>
          <w:lang w:val="fr-BE"/>
        </w:rPr>
        <w:lastRenderedPageBreak/>
        <w:t xml:space="preserve">LA </w:t>
      </w:r>
      <w:r w:rsidR="008A2908" w:rsidRPr="00495C0B">
        <w:rPr>
          <w:rFonts w:ascii="Cambria" w:eastAsia="Times New Roman" w:hAnsi="Cambria" w:cs="Times New Roman"/>
          <w:b/>
          <w:bCs/>
          <w:lang w:val="fr-BE"/>
        </w:rPr>
        <w:t>GROSSESSE</w:t>
      </w:r>
    </w:p>
    <w:p w14:paraId="6B02CB7D" w14:textId="77777777" w:rsidR="006F3307" w:rsidRPr="006F3307" w:rsidRDefault="006F3307" w:rsidP="006F3307">
      <w:pPr>
        <w:spacing w:after="0" w:line="240" w:lineRule="auto"/>
        <w:rPr>
          <w:rFonts w:ascii="Times New Roman" w:eastAsia="Times New Roman" w:hAnsi="Times New Roman" w:cs="Times New Roman"/>
          <w:sz w:val="24"/>
          <w:szCs w:val="24"/>
        </w:rPr>
      </w:pPr>
    </w:p>
    <w:p w14:paraId="65456CE6" w14:textId="44DD3AA6" w:rsidR="006F3307" w:rsidRPr="006F3307" w:rsidRDefault="00495C0B" w:rsidP="006F3307">
      <w:pPr>
        <w:spacing w:after="200" w:line="240" w:lineRule="auto"/>
        <w:jc w:val="both"/>
        <w:rPr>
          <w:rFonts w:ascii="Times New Roman" w:eastAsia="Times New Roman" w:hAnsi="Times New Roman" w:cs="Times New Roman"/>
          <w:sz w:val="24"/>
          <w:szCs w:val="24"/>
          <w:lang w:val="fr-BE"/>
        </w:rPr>
      </w:pPr>
      <w:r>
        <w:rPr>
          <w:rFonts w:ascii="Cambria" w:eastAsia="Times New Roman" w:hAnsi="Cambria" w:cs="Times New Roman"/>
          <w:b/>
          <w:bCs/>
          <w:color w:val="000000"/>
          <w:lang w:val="fr-BE"/>
        </w:rPr>
        <w:t>Comment la grossesse affecte-t-elle les MICI ?</w:t>
      </w:r>
    </w:p>
    <w:p w14:paraId="1BC03884" w14:textId="5EAE372A" w:rsidR="008A2908" w:rsidRPr="006F3307" w:rsidRDefault="00495C0B" w:rsidP="00495C0B">
      <w:pPr>
        <w:spacing w:after="0" w:line="240" w:lineRule="auto"/>
        <w:ind w:left="360"/>
        <w:jc w:val="both"/>
        <w:rPr>
          <w:rFonts w:ascii="Cambria" w:eastAsia="Times New Roman" w:hAnsi="Cambria" w:cs="Times New Roman"/>
        </w:rPr>
      </w:pPr>
      <w:r w:rsidRPr="00495C0B">
        <w:rPr>
          <w:rFonts w:ascii="Cambria" w:eastAsia="Times New Roman" w:hAnsi="Cambria" w:cs="Times New Roman"/>
          <w:lang w:val="fr-BE"/>
        </w:rPr>
        <w:t>Si la maladie est</w:t>
      </w:r>
      <w:r w:rsidR="00943F1A">
        <w:rPr>
          <w:rFonts w:ascii="Cambria" w:eastAsia="Times New Roman" w:hAnsi="Cambria" w:cs="Times New Roman"/>
          <w:lang w:val="fr-BE"/>
        </w:rPr>
        <w:t xml:space="preserve"> en rémission </w:t>
      </w:r>
      <w:r w:rsidR="008A2908" w:rsidRPr="00495C0B">
        <w:rPr>
          <w:rFonts w:ascii="Cambria" w:eastAsia="Times New Roman" w:hAnsi="Cambria" w:cs="Times New Roman"/>
        </w:rPr>
        <w:t>au moment de la conception, les chances de réussite de la grossesse sont aussi bonnes que pour une personne qui ne souffre pas de MI</w:t>
      </w:r>
      <w:r w:rsidR="00F72505" w:rsidRPr="008E3BFC">
        <w:rPr>
          <w:rFonts w:ascii="Cambria" w:eastAsia="Times New Roman" w:hAnsi="Cambria" w:cs="Times New Roman"/>
          <w:lang w:val="fr-BE"/>
        </w:rPr>
        <w:t>C</w:t>
      </w:r>
      <w:r w:rsidR="008A2908" w:rsidRPr="00495C0B">
        <w:rPr>
          <w:rFonts w:ascii="Cambria" w:eastAsia="Times New Roman" w:hAnsi="Cambria" w:cs="Times New Roman"/>
        </w:rPr>
        <w:t xml:space="preserve">I. </w:t>
      </w:r>
      <w:proofErr w:type="spellStart"/>
      <w:r w:rsidR="008A2908" w:rsidRPr="00495C0B">
        <w:rPr>
          <w:rFonts w:ascii="Cambria" w:eastAsia="Times New Roman" w:hAnsi="Cambria" w:cs="Times New Roman"/>
        </w:rPr>
        <w:t>Cependant</w:t>
      </w:r>
      <w:proofErr w:type="spellEnd"/>
      <w:r w:rsidR="008A2908"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si</w:t>
      </w:r>
      <w:proofErr w:type="spellEnd"/>
      <w:r w:rsidR="008A2908" w:rsidRPr="00495C0B">
        <w:rPr>
          <w:rFonts w:ascii="Cambria" w:eastAsia="Times New Roman" w:hAnsi="Cambria" w:cs="Times New Roman"/>
        </w:rPr>
        <w:t xml:space="preserve"> la </w:t>
      </w:r>
      <w:proofErr w:type="spellStart"/>
      <w:r w:rsidR="008A2908" w:rsidRPr="00495C0B">
        <w:rPr>
          <w:rFonts w:ascii="Cambria" w:eastAsia="Times New Roman" w:hAnsi="Cambria" w:cs="Times New Roman"/>
        </w:rPr>
        <w:t>maladie</w:t>
      </w:r>
      <w:proofErr w:type="spellEnd"/>
      <w:r w:rsidR="008A2908"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est</w:t>
      </w:r>
      <w:proofErr w:type="spellEnd"/>
      <w:r w:rsidR="008A2908" w:rsidRPr="00495C0B">
        <w:rPr>
          <w:rFonts w:ascii="Cambria" w:eastAsia="Times New Roman" w:hAnsi="Cambria" w:cs="Times New Roman"/>
        </w:rPr>
        <w:t xml:space="preserve"> active pendant la conception, </w:t>
      </w:r>
      <w:proofErr w:type="spellStart"/>
      <w:r w:rsidR="008A2908" w:rsidRPr="00495C0B">
        <w:rPr>
          <w:rFonts w:ascii="Cambria" w:eastAsia="Times New Roman" w:hAnsi="Cambria" w:cs="Times New Roman"/>
        </w:rPr>
        <w:t>cela</w:t>
      </w:r>
      <w:proofErr w:type="spellEnd"/>
      <w:r w:rsidR="008A2908"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augmente</w:t>
      </w:r>
      <w:proofErr w:type="spellEnd"/>
      <w:r w:rsidR="008A2908" w:rsidRPr="00495C0B">
        <w:rPr>
          <w:rFonts w:ascii="Cambria" w:eastAsia="Times New Roman" w:hAnsi="Cambria" w:cs="Times New Roman"/>
        </w:rPr>
        <w:t xml:space="preserve"> le </w:t>
      </w:r>
      <w:proofErr w:type="spellStart"/>
      <w:r w:rsidR="008A2908" w:rsidRPr="00495C0B">
        <w:rPr>
          <w:rFonts w:ascii="Cambria" w:eastAsia="Times New Roman" w:hAnsi="Cambria" w:cs="Times New Roman"/>
        </w:rPr>
        <w:t>risque</w:t>
      </w:r>
      <w:proofErr w:type="spellEnd"/>
      <w:r w:rsidR="008A2908" w:rsidRPr="00495C0B">
        <w:rPr>
          <w:rFonts w:ascii="Cambria" w:eastAsia="Times New Roman" w:hAnsi="Cambria" w:cs="Times New Roman"/>
        </w:rPr>
        <w:t xml:space="preserve"> de </w:t>
      </w:r>
      <w:proofErr w:type="spellStart"/>
      <w:r w:rsidR="008A2908" w:rsidRPr="00495C0B">
        <w:rPr>
          <w:rFonts w:ascii="Cambria" w:eastAsia="Times New Roman" w:hAnsi="Cambria" w:cs="Times New Roman"/>
        </w:rPr>
        <w:t>faible</w:t>
      </w:r>
      <w:proofErr w:type="spellEnd"/>
      <w:r w:rsidR="008A2908"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poids</w:t>
      </w:r>
      <w:proofErr w:type="spellEnd"/>
      <w:r w:rsidR="008A2908" w:rsidRPr="00495C0B">
        <w:rPr>
          <w:rFonts w:ascii="Cambria" w:eastAsia="Times New Roman" w:hAnsi="Cambria" w:cs="Times New Roman"/>
        </w:rPr>
        <w:t xml:space="preserve"> à la naissance, de naissances </w:t>
      </w:r>
      <w:proofErr w:type="spellStart"/>
      <w:r w:rsidR="008A2908" w:rsidRPr="00495C0B">
        <w:rPr>
          <w:rFonts w:ascii="Cambria" w:eastAsia="Times New Roman" w:hAnsi="Cambria" w:cs="Times New Roman"/>
        </w:rPr>
        <w:t>prématurées</w:t>
      </w:r>
      <w:proofErr w:type="spellEnd"/>
      <w:r w:rsidR="008A2908" w:rsidRPr="00495C0B">
        <w:rPr>
          <w:rFonts w:ascii="Cambria" w:eastAsia="Times New Roman" w:hAnsi="Cambria" w:cs="Times New Roman"/>
        </w:rPr>
        <w:t xml:space="preserve">, de </w:t>
      </w:r>
      <w:proofErr w:type="spellStart"/>
      <w:r w:rsidR="008A2908" w:rsidRPr="00495C0B">
        <w:rPr>
          <w:rFonts w:ascii="Cambria" w:eastAsia="Times New Roman" w:hAnsi="Cambria" w:cs="Times New Roman"/>
        </w:rPr>
        <w:t>fausses</w:t>
      </w:r>
      <w:proofErr w:type="spellEnd"/>
      <w:r w:rsidR="008A2908" w:rsidRPr="00495C0B">
        <w:rPr>
          <w:rFonts w:ascii="Cambria" w:eastAsia="Times New Roman" w:hAnsi="Cambria" w:cs="Times New Roman"/>
        </w:rPr>
        <w:t xml:space="preserve"> couches </w:t>
      </w:r>
      <w:r w:rsidR="00943F1A" w:rsidRPr="00886EA6">
        <w:rPr>
          <w:rFonts w:ascii="Cambria" w:eastAsia="Times New Roman" w:hAnsi="Cambria" w:cs="Times New Roman"/>
          <w:lang w:val="fr-BE"/>
        </w:rPr>
        <w:t xml:space="preserve">ou </w:t>
      </w:r>
      <w:proofErr w:type="spellStart"/>
      <w:r w:rsidR="008A2908" w:rsidRPr="00495C0B">
        <w:rPr>
          <w:rFonts w:ascii="Cambria" w:eastAsia="Times New Roman" w:hAnsi="Cambria" w:cs="Times New Roman"/>
        </w:rPr>
        <w:t>d'anomalies</w:t>
      </w:r>
      <w:proofErr w:type="spellEnd"/>
      <w:r w:rsidR="008A2908"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congénitales</w:t>
      </w:r>
      <w:proofErr w:type="spellEnd"/>
      <w:r w:rsidR="008A2908" w:rsidRPr="00495C0B">
        <w:rPr>
          <w:rFonts w:ascii="Cambria" w:eastAsia="Times New Roman" w:hAnsi="Cambria" w:cs="Times New Roman"/>
        </w:rPr>
        <w:t xml:space="preserve">.  Il </w:t>
      </w:r>
      <w:proofErr w:type="spellStart"/>
      <w:r w:rsidR="008A2908" w:rsidRPr="00495C0B">
        <w:rPr>
          <w:rFonts w:ascii="Cambria" w:eastAsia="Times New Roman" w:hAnsi="Cambria" w:cs="Times New Roman"/>
        </w:rPr>
        <w:t>est</w:t>
      </w:r>
      <w:proofErr w:type="spellEnd"/>
      <w:r w:rsidR="008A2908"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donc</w:t>
      </w:r>
      <w:proofErr w:type="spellEnd"/>
      <w:r w:rsidR="008A2908" w:rsidRPr="00495C0B">
        <w:rPr>
          <w:rFonts w:ascii="Cambria" w:eastAsia="Times New Roman" w:hAnsi="Cambria" w:cs="Times New Roman"/>
        </w:rPr>
        <w:t xml:space="preserve"> important de </w:t>
      </w:r>
      <w:proofErr w:type="spellStart"/>
      <w:r w:rsidR="008A2908" w:rsidRPr="00495C0B">
        <w:rPr>
          <w:rFonts w:ascii="Cambria" w:eastAsia="Times New Roman" w:hAnsi="Cambria" w:cs="Times New Roman"/>
        </w:rPr>
        <w:t>contrôler</w:t>
      </w:r>
      <w:proofErr w:type="spellEnd"/>
      <w:r w:rsidR="008A2908" w:rsidRPr="00495C0B">
        <w:rPr>
          <w:rFonts w:ascii="Cambria" w:eastAsia="Times New Roman" w:hAnsi="Cambria" w:cs="Times New Roman"/>
        </w:rPr>
        <w:t xml:space="preserve"> la </w:t>
      </w:r>
      <w:proofErr w:type="spellStart"/>
      <w:r w:rsidR="008A2908" w:rsidRPr="00495C0B">
        <w:rPr>
          <w:rFonts w:ascii="Cambria" w:eastAsia="Times New Roman" w:hAnsi="Cambria" w:cs="Times New Roman"/>
        </w:rPr>
        <w:t>maladie</w:t>
      </w:r>
      <w:proofErr w:type="spellEnd"/>
      <w:r w:rsidR="008A2908" w:rsidRPr="00495C0B">
        <w:rPr>
          <w:rFonts w:ascii="Cambria" w:eastAsia="Times New Roman" w:hAnsi="Cambria" w:cs="Times New Roman"/>
        </w:rPr>
        <w:t xml:space="preserve"> </w:t>
      </w:r>
      <w:r w:rsidR="00943F1A" w:rsidRPr="00886EA6">
        <w:rPr>
          <w:rFonts w:ascii="Cambria" w:eastAsia="Times New Roman" w:hAnsi="Cambria" w:cs="Times New Roman"/>
          <w:lang w:val="fr-BE"/>
        </w:rPr>
        <w:t>avant</w:t>
      </w:r>
      <w:r w:rsidR="00943F1A" w:rsidRPr="00495C0B">
        <w:rPr>
          <w:rFonts w:ascii="Cambria" w:eastAsia="Times New Roman" w:hAnsi="Cambria" w:cs="Times New Roman"/>
        </w:rPr>
        <w:t xml:space="preserve"> </w:t>
      </w:r>
      <w:proofErr w:type="spellStart"/>
      <w:r w:rsidR="008A2908" w:rsidRPr="00495C0B">
        <w:rPr>
          <w:rFonts w:ascii="Cambria" w:eastAsia="Times New Roman" w:hAnsi="Cambria" w:cs="Times New Roman"/>
        </w:rPr>
        <w:t>vous</w:t>
      </w:r>
      <w:proofErr w:type="spellEnd"/>
      <w:r w:rsidR="008A2908" w:rsidRPr="00495C0B">
        <w:rPr>
          <w:rFonts w:ascii="Cambria" w:eastAsia="Times New Roman" w:hAnsi="Cambria" w:cs="Times New Roman"/>
        </w:rPr>
        <w:t xml:space="preserve"> </w:t>
      </w:r>
      <w:r w:rsidR="00943F1A" w:rsidRPr="00886EA6">
        <w:rPr>
          <w:rFonts w:ascii="Cambria" w:eastAsia="Times New Roman" w:hAnsi="Cambria" w:cs="Times New Roman"/>
          <w:lang w:val="fr-BE"/>
        </w:rPr>
        <w:t xml:space="preserve">ne </w:t>
      </w:r>
      <w:r w:rsidR="008A2908" w:rsidRPr="00495C0B">
        <w:rPr>
          <w:rFonts w:ascii="Cambria" w:eastAsia="Times New Roman" w:hAnsi="Cambria" w:cs="Times New Roman"/>
        </w:rPr>
        <w:t>tomb</w:t>
      </w:r>
      <w:r w:rsidR="00943F1A" w:rsidRPr="00886EA6">
        <w:rPr>
          <w:rFonts w:ascii="Cambria" w:eastAsia="Times New Roman" w:hAnsi="Cambria" w:cs="Times New Roman"/>
          <w:lang w:val="fr-BE"/>
        </w:rPr>
        <w:t>i</w:t>
      </w:r>
      <w:proofErr w:type="spellStart"/>
      <w:r w:rsidR="008A2908" w:rsidRPr="00495C0B">
        <w:rPr>
          <w:rFonts w:ascii="Cambria" w:eastAsia="Times New Roman" w:hAnsi="Cambria" w:cs="Times New Roman"/>
        </w:rPr>
        <w:t>ez</w:t>
      </w:r>
      <w:proofErr w:type="spellEnd"/>
      <w:r w:rsidR="008A2908" w:rsidRPr="00495C0B">
        <w:rPr>
          <w:rFonts w:ascii="Cambria" w:eastAsia="Times New Roman" w:hAnsi="Cambria" w:cs="Times New Roman"/>
        </w:rPr>
        <w:t xml:space="preserve"> enceinte. Nous vous conseillons donc de discuter à temps de la possibilité d'une grossesse avec votre gastro-entérologue. Pendant la grossesse, le gastro-entérologue doit être consulté à tout moment, car il y a toujours un risque que la maladie se déclare à nouveau (surtout dans le cas de la colite ulcéreuse).</w:t>
      </w:r>
    </w:p>
    <w:p w14:paraId="5CB50927" w14:textId="77777777" w:rsidR="006F3307" w:rsidRPr="006F3307" w:rsidRDefault="006F3307" w:rsidP="006F3307">
      <w:pPr>
        <w:spacing w:after="0" w:line="240" w:lineRule="auto"/>
        <w:rPr>
          <w:rFonts w:ascii="Times New Roman" w:eastAsia="Times New Roman" w:hAnsi="Times New Roman" w:cs="Times New Roman"/>
          <w:color w:val="FF0000"/>
          <w:sz w:val="24"/>
          <w:szCs w:val="24"/>
        </w:rPr>
      </w:pPr>
    </w:p>
    <w:p w14:paraId="282CF390" w14:textId="513D4C57" w:rsidR="006F3307" w:rsidRPr="006F3307" w:rsidRDefault="00495C0B" w:rsidP="006F3307">
      <w:pPr>
        <w:spacing w:after="0" w:line="240" w:lineRule="auto"/>
        <w:jc w:val="both"/>
        <w:rPr>
          <w:rFonts w:ascii="Times New Roman" w:eastAsia="Times New Roman" w:hAnsi="Times New Roman" w:cs="Times New Roman"/>
          <w:sz w:val="24"/>
          <w:szCs w:val="24"/>
          <w:lang w:val="fr-BE"/>
        </w:rPr>
      </w:pPr>
      <w:r w:rsidRPr="00495C0B">
        <w:rPr>
          <w:rFonts w:ascii="Cambria" w:eastAsia="Times New Roman" w:hAnsi="Cambria" w:cs="Times New Roman"/>
          <w:b/>
          <w:bCs/>
          <w:color w:val="000000"/>
          <w:lang w:val="fr-BE"/>
        </w:rPr>
        <w:t xml:space="preserve">Quels </w:t>
      </w:r>
      <w:r w:rsidR="008E3BFC">
        <w:rPr>
          <w:rFonts w:ascii="Cambria" w:eastAsia="Times New Roman" w:hAnsi="Cambria" w:cs="Times New Roman"/>
          <w:b/>
          <w:bCs/>
          <w:color w:val="000000"/>
          <w:lang w:val="fr-BE"/>
        </w:rPr>
        <w:t>m</w:t>
      </w:r>
      <w:r w:rsidRPr="00495C0B">
        <w:rPr>
          <w:rFonts w:ascii="Cambria" w:eastAsia="Times New Roman" w:hAnsi="Cambria" w:cs="Times New Roman"/>
          <w:b/>
          <w:bCs/>
          <w:color w:val="000000"/>
          <w:lang w:val="fr-BE"/>
        </w:rPr>
        <w:t>édicam</w:t>
      </w:r>
      <w:r>
        <w:rPr>
          <w:rFonts w:ascii="Cambria" w:eastAsia="Times New Roman" w:hAnsi="Cambria" w:cs="Times New Roman"/>
          <w:b/>
          <w:bCs/>
          <w:color w:val="000000"/>
          <w:lang w:val="fr-BE"/>
        </w:rPr>
        <w:t>ents puis-je prendre pendant la grossesse ?</w:t>
      </w:r>
    </w:p>
    <w:p w14:paraId="1E2B61CB" w14:textId="480BF6D4" w:rsidR="00BC3414" w:rsidRPr="006F3307" w:rsidRDefault="00495C0B" w:rsidP="00495C0B">
      <w:pPr>
        <w:spacing w:after="200" w:line="240" w:lineRule="auto"/>
        <w:ind w:left="360"/>
        <w:jc w:val="both"/>
        <w:rPr>
          <w:rFonts w:ascii="Cambria" w:eastAsia="Times New Roman" w:hAnsi="Cambria" w:cs="Times New Roman"/>
        </w:rPr>
      </w:pPr>
      <w:r w:rsidRPr="00495C0B">
        <w:rPr>
          <w:rFonts w:ascii="Cambria" w:eastAsia="Times New Roman" w:hAnsi="Cambria" w:cs="Times New Roman"/>
          <w:lang w:val="fr-BE"/>
        </w:rPr>
        <w:t xml:space="preserve">Pour que la maladie </w:t>
      </w:r>
      <w:r w:rsidR="00BC3414" w:rsidRPr="00495C0B">
        <w:rPr>
          <w:rFonts w:ascii="Cambria" w:eastAsia="Times New Roman" w:hAnsi="Cambria" w:cs="Times New Roman"/>
        </w:rPr>
        <w:t>soit</w:t>
      </w:r>
      <w:r w:rsidR="00943F1A" w:rsidRPr="00886EA6">
        <w:rPr>
          <w:rFonts w:ascii="Cambria" w:eastAsia="Times New Roman" w:hAnsi="Cambria" w:cs="Times New Roman"/>
          <w:lang w:val="fr-BE"/>
        </w:rPr>
        <w:t xml:space="preserve"> en rémission</w:t>
      </w:r>
      <w:r w:rsidR="00BC3414" w:rsidRPr="00495C0B">
        <w:rPr>
          <w:rFonts w:ascii="Cambria" w:eastAsia="Times New Roman" w:hAnsi="Cambria" w:cs="Times New Roman"/>
        </w:rPr>
        <w:t xml:space="preserve"> au moment de la conception et pendant la </w:t>
      </w:r>
      <w:proofErr w:type="spellStart"/>
      <w:r w:rsidR="00BC3414" w:rsidRPr="00495C0B">
        <w:rPr>
          <w:rFonts w:ascii="Cambria" w:eastAsia="Times New Roman" w:hAnsi="Cambria" w:cs="Times New Roman"/>
        </w:rPr>
        <w:t>grossesse</w:t>
      </w:r>
      <w:proofErr w:type="spellEnd"/>
      <w:r w:rsidR="00BC3414" w:rsidRPr="00495C0B">
        <w:rPr>
          <w:rFonts w:ascii="Cambria" w:eastAsia="Times New Roman" w:hAnsi="Cambria" w:cs="Times New Roman"/>
        </w:rPr>
        <w:t xml:space="preserve">, la prise de </w:t>
      </w:r>
      <w:proofErr w:type="spellStart"/>
      <w:r w:rsidR="00BC3414" w:rsidRPr="00495C0B">
        <w:rPr>
          <w:rFonts w:ascii="Cambria" w:eastAsia="Times New Roman" w:hAnsi="Cambria" w:cs="Times New Roman"/>
        </w:rPr>
        <w:t>médicaments</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est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souvent</w:t>
      </w:r>
      <w:proofErr w:type="spellEnd"/>
      <w:r w:rsidR="00BC3414" w:rsidRPr="00495C0B">
        <w:rPr>
          <w:rFonts w:ascii="Cambria" w:eastAsia="Times New Roman" w:hAnsi="Cambria" w:cs="Times New Roman"/>
        </w:rPr>
        <w:t xml:space="preserve"> indispensable. Heureusement, la plupart des traitements peuvent être pris pendant la grossesse, sauf le ledertrexate (Methotrexate®). Le ledertrexate est associé à des fausses couches et à des anomalies congénitales</w:t>
      </w:r>
      <w:r w:rsidR="00943F1A" w:rsidRPr="00886EA6">
        <w:rPr>
          <w:rFonts w:ascii="Cambria" w:eastAsia="Times New Roman" w:hAnsi="Cambria" w:cs="Times New Roman"/>
          <w:lang w:val="fr-BE"/>
        </w:rPr>
        <w:t>,</w:t>
      </w:r>
      <w:r w:rsidR="00BC3414" w:rsidRPr="00495C0B">
        <w:rPr>
          <w:rFonts w:ascii="Cambria" w:eastAsia="Times New Roman" w:hAnsi="Cambria" w:cs="Times New Roman"/>
        </w:rPr>
        <w:t xml:space="preserve"> et doit donc être arrêté au moins 6 mois avant la conception. La mésalazine (par exemple Pentasa®, Colitofalk®, Claversal®) et la sulfasalazine (Salazopyrine®) sont sans danger pendant la grossesse. La sulfasalazine nécessite un supplément d'acide folique. L'utilisation de corticostéroïdes est également possible et peut parfois être nécessaire pour contrôler toute poussée pendant la grossesse. Les traitements biologiques (par exemple infliximab, adalimumab, vedolizumab, ustekinumab) peuvent également être administrés pendant la grossesse. </w:t>
      </w:r>
      <w:proofErr w:type="spellStart"/>
      <w:r w:rsidR="00BC3414" w:rsidRPr="00495C0B">
        <w:rPr>
          <w:rFonts w:ascii="Cambria" w:eastAsia="Times New Roman" w:hAnsi="Cambria" w:cs="Times New Roman"/>
        </w:rPr>
        <w:t>Cependant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ils</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sont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parfois</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arrêtés</w:t>
      </w:r>
      <w:proofErr w:type="spellEnd"/>
      <w:r w:rsidR="00BC3414" w:rsidRPr="00495C0B">
        <w:rPr>
          <w:rFonts w:ascii="Cambria" w:eastAsia="Times New Roman" w:hAnsi="Cambria" w:cs="Times New Roman"/>
        </w:rPr>
        <w:t xml:space="preserve"> au </w:t>
      </w:r>
      <w:proofErr w:type="spellStart"/>
      <w:r w:rsidR="00BC3414" w:rsidRPr="00495C0B">
        <w:rPr>
          <w:rFonts w:ascii="Cambria" w:eastAsia="Times New Roman" w:hAnsi="Cambria" w:cs="Times New Roman"/>
        </w:rPr>
        <w:t>cours</w:t>
      </w:r>
      <w:proofErr w:type="spellEnd"/>
      <w:r w:rsidR="00BC3414" w:rsidRPr="00495C0B">
        <w:rPr>
          <w:rFonts w:ascii="Cambria" w:eastAsia="Times New Roman" w:hAnsi="Cambria" w:cs="Times New Roman"/>
        </w:rPr>
        <w:t xml:space="preserve"> du </w:t>
      </w:r>
      <w:proofErr w:type="spellStart"/>
      <w:r w:rsidR="00BC3414" w:rsidRPr="00495C0B">
        <w:rPr>
          <w:rFonts w:ascii="Cambria" w:eastAsia="Times New Roman" w:hAnsi="Cambria" w:cs="Times New Roman"/>
        </w:rPr>
        <w:t>troisième</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trimestre</w:t>
      </w:r>
      <w:proofErr w:type="spellEnd"/>
      <w:r w:rsidR="00BC3414" w:rsidRPr="00495C0B">
        <w:rPr>
          <w:rFonts w:ascii="Cambria" w:eastAsia="Times New Roman" w:hAnsi="Cambria" w:cs="Times New Roman"/>
        </w:rPr>
        <w:t xml:space="preserve">, car le </w:t>
      </w:r>
      <w:proofErr w:type="spellStart"/>
      <w:r w:rsidR="00BC3414" w:rsidRPr="00495C0B">
        <w:rPr>
          <w:rFonts w:ascii="Cambria" w:eastAsia="Times New Roman" w:hAnsi="Cambria" w:cs="Times New Roman"/>
        </w:rPr>
        <w:t>médicament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peut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alors</w:t>
      </w:r>
      <w:proofErr w:type="spellEnd"/>
      <w:r w:rsidR="00BC3414" w:rsidRPr="00495C0B">
        <w:rPr>
          <w:rFonts w:ascii="Cambria" w:eastAsia="Times New Roman" w:hAnsi="Cambria" w:cs="Times New Roman"/>
        </w:rPr>
        <w:t xml:space="preserve"> passer </w:t>
      </w:r>
      <w:r w:rsidR="00943F1A" w:rsidRPr="00886EA6">
        <w:rPr>
          <w:rFonts w:ascii="Cambria" w:eastAsia="Times New Roman" w:hAnsi="Cambria" w:cs="Times New Roman"/>
          <w:lang w:val="fr-BE"/>
        </w:rPr>
        <w:t>la barrière</w:t>
      </w:r>
      <w:r w:rsidR="00943F1A">
        <w:rPr>
          <w:rFonts w:ascii="Cambria" w:eastAsia="Times New Roman" w:hAnsi="Cambria" w:cs="Times New Roman"/>
          <w:lang w:val="fr-BE"/>
        </w:rPr>
        <w:t xml:space="preserve"> placentaire</w:t>
      </w:r>
      <w:r w:rsidR="00BC3414" w:rsidRPr="00495C0B">
        <w:rPr>
          <w:rFonts w:ascii="Cambria" w:eastAsia="Times New Roman" w:hAnsi="Cambria" w:cs="Times New Roman"/>
        </w:rPr>
        <w:t xml:space="preserve"> et </w:t>
      </w:r>
      <w:proofErr w:type="spellStart"/>
      <w:r w:rsidR="00BC3414" w:rsidRPr="00495C0B">
        <w:rPr>
          <w:rFonts w:ascii="Cambria" w:eastAsia="Times New Roman" w:hAnsi="Cambria" w:cs="Times New Roman"/>
        </w:rPr>
        <w:t>atteindre</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l'enfant</w:t>
      </w:r>
      <w:proofErr w:type="spellEnd"/>
      <w:r w:rsidR="00BC3414" w:rsidRPr="00495C0B">
        <w:rPr>
          <w:rFonts w:ascii="Cambria" w:eastAsia="Times New Roman" w:hAnsi="Cambria" w:cs="Times New Roman"/>
        </w:rPr>
        <w:t xml:space="preserve">. Cependant, l'administration continue de ce médicament est parfois nécessaire chez les patients à haut risque pour maintenir la maladie sous contrôle. Cela ne semble pas avoir d'effets néfastes sur l'enfant. Toutefois, il est alors recommandé de ne pas administrer de vaccins vivants à l'enfant pendant les 6 premiers mois suivant la naissance. A l'heure actuelle, les données et l'innocuité des inhibiteurs de JAK pendant la grossesse sont insuffisantes. Par </w:t>
      </w:r>
      <w:proofErr w:type="spellStart"/>
      <w:r w:rsidR="00BC3414" w:rsidRPr="00495C0B">
        <w:rPr>
          <w:rFonts w:ascii="Cambria" w:eastAsia="Times New Roman" w:hAnsi="Cambria" w:cs="Times New Roman"/>
        </w:rPr>
        <w:t>conséquent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ce</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médicament</w:t>
      </w:r>
      <w:proofErr w:type="spellEnd"/>
      <w:r w:rsidR="00BC3414" w:rsidRPr="00495C0B">
        <w:rPr>
          <w:rFonts w:ascii="Cambria" w:eastAsia="Times New Roman" w:hAnsi="Cambria" w:cs="Times New Roman"/>
        </w:rPr>
        <w:t xml:space="preserve"> </w:t>
      </w:r>
      <w:proofErr w:type="spellStart"/>
      <w:r w:rsidR="00BC3414" w:rsidRPr="00495C0B">
        <w:rPr>
          <w:rFonts w:ascii="Cambria" w:eastAsia="Times New Roman" w:hAnsi="Cambria" w:cs="Times New Roman"/>
        </w:rPr>
        <w:t>n'est</w:t>
      </w:r>
      <w:proofErr w:type="spellEnd"/>
      <w:r w:rsidR="00BC3414" w:rsidRPr="00495C0B">
        <w:rPr>
          <w:rFonts w:ascii="Cambria" w:eastAsia="Times New Roman" w:hAnsi="Cambria" w:cs="Times New Roman"/>
        </w:rPr>
        <w:t xml:space="preserve"> pas </w:t>
      </w:r>
      <w:proofErr w:type="spellStart"/>
      <w:r w:rsidR="00BC3414" w:rsidRPr="00495C0B">
        <w:rPr>
          <w:rFonts w:ascii="Cambria" w:eastAsia="Times New Roman" w:hAnsi="Cambria" w:cs="Times New Roman"/>
        </w:rPr>
        <w:t>recommandé</w:t>
      </w:r>
      <w:proofErr w:type="spellEnd"/>
      <w:r w:rsidR="00BC3414" w:rsidRPr="00495C0B">
        <w:rPr>
          <w:rFonts w:ascii="Cambria" w:eastAsia="Times New Roman" w:hAnsi="Cambria" w:cs="Times New Roman"/>
        </w:rPr>
        <w:t xml:space="preserve"> aux hommes et aux femmes qui </w:t>
      </w:r>
      <w:proofErr w:type="spellStart"/>
      <w:r w:rsidR="00BC3414" w:rsidRPr="00495C0B">
        <w:rPr>
          <w:rFonts w:ascii="Cambria" w:eastAsia="Times New Roman" w:hAnsi="Cambria" w:cs="Times New Roman"/>
        </w:rPr>
        <w:t>souhaitent</w:t>
      </w:r>
      <w:proofErr w:type="spellEnd"/>
      <w:r w:rsidR="00BC3414" w:rsidRPr="00495C0B">
        <w:rPr>
          <w:rFonts w:ascii="Cambria" w:eastAsia="Times New Roman" w:hAnsi="Cambria" w:cs="Times New Roman"/>
        </w:rPr>
        <w:t xml:space="preserve"> </w:t>
      </w:r>
      <w:r w:rsidR="00943F1A" w:rsidRPr="00886EA6">
        <w:rPr>
          <w:rFonts w:ascii="Cambria" w:eastAsia="Times New Roman" w:hAnsi="Cambria" w:cs="Times New Roman"/>
          <w:lang w:val="fr-BE"/>
        </w:rPr>
        <w:t>av</w:t>
      </w:r>
      <w:r w:rsidR="00943F1A">
        <w:rPr>
          <w:rFonts w:ascii="Cambria" w:eastAsia="Times New Roman" w:hAnsi="Cambria" w:cs="Times New Roman"/>
          <w:lang w:val="fr-BE"/>
        </w:rPr>
        <w:t>oir un enfant</w:t>
      </w:r>
    </w:p>
    <w:p w14:paraId="1755F07A" w14:textId="77777777" w:rsidR="006F3307" w:rsidRPr="006F3307" w:rsidRDefault="006F3307" w:rsidP="006F3307">
      <w:pPr>
        <w:spacing w:after="0" w:line="240" w:lineRule="auto"/>
        <w:rPr>
          <w:rFonts w:ascii="Times New Roman" w:eastAsia="Times New Roman" w:hAnsi="Times New Roman" w:cs="Times New Roman"/>
          <w:color w:val="FF0000"/>
          <w:sz w:val="24"/>
          <w:szCs w:val="24"/>
        </w:rPr>
      </w:pPr>
    </w:p>
    <w:p w14:paraId="64C5125B" w14:textId="437D3ACD" w:rsidR="006F3307" w:rsidRPr="006F3307" w:rsidRDefault="00BC3414" w:rsidP="004D496B">
      <w:pPr>
        <w:spacing w:after="200" w:line="240" w:lineRule="auto"/>
        <w:jc w:val="both"/>
        <w:rPr>
          <w:rFonts w:ascii="Times New Roman" w:eastAsia="Times New Roman" w:hAnsi="Times New Roman" w:cs="Times New Roman"/>
          <w:sz w:val="24"/>
          <w:szCs w:val="24"/>
          <w:lang w:val="fr-BE"/>
        </w:rPr>
      </w:pPr>
      <w:r w:rsidRPr="004D496B">
        <w:rPr>
          <w:rFonts w:ascii="Cambria" w:eastAsia="Times New Roman" w:hAnsi="Cambria" w:cs="Times New Roman"/>
          <w:b/>
          <w:bCs/>
          <w:color w:val="000000"/>
          <w:lang w:val="fr-BE"/>
        </w:rPr>
        <w:t>L’ACCOUCHEMENT</w:t>
      </w:r>
    </w:p>
    <w:p w14:paraId="5A377769" w14:textId="0E08F2F8" w:rsidR="00BC3414" w:rsidRPr="006F3307" w:rsidRDefault="00BC3414" w:rsidP="006F3307">
      <w:pPr>
        <w:spacing w:after="200" w:line="240" w:lineRule="auto"/>
        <w:ind w:left="360"/>
        <w:jc w:val="both"/>
        <w:rPr>
          <w:rFonts w:ascii="Cambria" w:eastAsia="Times New Roman" w:hAnsi="Cambria" w:cs="Times New Roman"/>
        </w:rPr>
      </w:pPr>
      <w:r w:rsidRPr="004D496B">
        <w:rPr>
          <w:rFonts w:ascii="Cambria" w:eastAsia="Times New Roman" w:hAnsi="Cambria" w:cs="Times New Roman"/>
        </w:rPr>
        <w:t xml:space="preserve">La </w:t>
      </w:r>
      <w:proofErr w:type="spellStart"/>
      <w:r w:rsidRPr="004D496B">
        <w:rPr>
          <w:rFonts w:ascii="Cambria" w:eastAsia="Times New Roman" w:hAnsi="Cambria" w:cs="Times New Roman"/>
        </w:rPr>
        <w:t>plupart</w:t>
      </w:r>
      <w:proofErr w:type="spellEnd"/>
      <w:r w:rsidRPr="004D496B">
        <w:rPr>
          <w:rFonts w:ascii="Cambria" w:eastAsia="Times New Roman" w:hAnsi="Cambria" w:cs="Times New Roman"/>
        </w:rPr>
        <w:t xml:space="preserve"> des femmes </w:t>
      </w:r>
      <w:proofErr w:type="spellStart"/>
      <w:r w:rsidRPr="004D496B">
        <w:rPr>
          <w:rFonts w:ascii="Cambria" w:eastAsia="Times New Roman" w:hAnsi="Cambria" w:cs="Times New Roman"/>
        </w:rPr>
        <w:t>atteintes</w:t>
      </w:r>
      <w:proofErr w:type="spellEnd"/>
      <w:r w:rsidRPr="004D496B">
        <w:rPr>
          <w:rFonts w:ascii="Cambria" w:eastAsia="Times New Roman" w:hAnsi="Cambria" w:cs="Times New Roman"/>
        </w:rPr>
        <w:t xml:space="preserve"> </w:t>
      </w:r>
      <w:proofErr w:type="spellStart"/>
      <w:r w:rsidRPr="004D496B">
        <w:rPr>
          <w:rFonts w:ascii="Cambria" w:eastAsia="Times New Roman" w:hAnsi="Cambria" w:cs="Times New Roman"/>
        </w:rPr>
        <w:t>d'une</w:t>
      </w:r>
      <w:proofErr w:type="spellEnd"/>
      <w:r w:rsidRPr="004D496B">
        <w:rPr>
          <w:rFonts w:ascii="Cambria" w:eastAsia="Times New Roman" w:hAnsi="Cambria" w:cs="Times New Roman"/>
        </w:rPr>
        <w:t xml:space="preserve"> MICI </w:t>
      </w:r>
      <w:proofErr w:type="spellStart"/>
      <w:r w:rsidRPr="004D496B">
        <w:rPr>
          <w:rFonts w:ascii="Cambria" w:eastAsia="Times New Roman" w:hAnsi="Cambria" w:cs="Times New Roman"/>
        </w:rPr>
        <w:t>peuvent</w:t>
      </w:r>
      <w:proofErr w:type="spellEnd"/>
      <w:r w:rsidRPr="004D496B">
        <w:rPr>
          <w:rFonts w:ascii="Cambria" w:eastAsia="Times New Roman" w:hAnsi="Cambria" w:cs="Times New Roman"/>
        </w:rPr>
        <w:t xml:space="preserve"> </w:t>
      </w:r>
      <w:proofErr w:type="spellStart"/>
      <w:r w:rsidRPr="004D496B">
        <w:rPr>
          <w:rFonts w:ascii="Cambria" w:eastAsia="Times New Roman" w:hAnsi="Cambria" w:cs="Times New Roman"/>
        </w:rPr>
        <w:t>accoucher</w:t>
      </w:r>
      <w:proofErr w:type="spellEnd"/>
      <w:r w:rsidRPr="004D496B">
        <w:rPr>
          <w:rFonts w:ascii="Cambria" w:eastAsia="Times New Roman" w:hAnsi="Cambria" w:cs="Times New Roman"/>
        </w:rPr>
        <w:t xml:space="preserve"> par </w:t>
      </w:r>
      <w:proofErr w:type="spellStart"/>
      <w:r w:rsidRPr="004D496B">
        <w:rPr>
          <w:rFonts w:ascii="Cambria" w:eastAsia="Times New Roman" w:hAnsi="Cambria" w:cs="Times New Roman"/>
        </w:rPr>
        <w:t>voie</w:t>
      </w:r>
      <w:proofErr w:type="spellEnd"/>
      <w:r w:rsidRPr="004D496B">
        <w:rPr>
          <w:rFonts w:ascii="Cambria" w:eastAsia="Times New Roman" w:hAnsi="Cambria" w:cs="Times New Roman"/>
        </w:rPr>
        <w:t xml:space="preserve"> </w:t>
      </w:r>
      <w:r w:rsidR="00943F1A" w:rsidRPr="00886EA6">
        <w:rPr>
          <w:rFonts w:ascii="Cambria" w:eastAsia="Times New Roman" w:hAnsi="Cambria" w:cs="Times New Roman"/>
          <w:lang w:val="fr-BE"/>
        </w:rPr>
        <w:t>basse</w:t>
      </w:r>
      <w:r w:rsidRPr="004D496B">
        <w:rPr>
          <w:rFonts w:ascii="Cambria" w:eastAsia="Times New Roman" w:hAnsi="Cambria" w:cs="Times New Roman"/>
        </w:rPr>
        <w:t xml:space="preserve">, </w:t>
      </w:r>
      <w:proofErr w:type="spellStart"/>
      <w:r w:rsidRPr="004D496B">
        <w:rPr>
          <w:rFonts w:ascii="Cambria" w:eastAsia="Times New Roman" w:hAnsi="Cambria" w:cs="Times New Roman"/>
        </w:rPr>
        <w:t>sauf</w:t>
      </w:r>
      <w:proofErr w:type="spellEnd"/>
      <w:r w:rsidRPr="004D496B">
        <w:rPr>
          <w:rFonts w:ascii="Cambria" w:eastAsia="Times New Roman" w:hAnsi="Cambria" w:cs="Times New Roman"/>
        </w:rPr>
        <w:t xml:space="preserve"> </w:t>
      </w:r>
      <w:proofErr w:type="spellStart"/>
      <w:r w:rsidRPr="004D496B">
        <w:rPr>
          <w:rFonts w:ascii="Cambria" w:eastAsia="Times New Roman" w:hAnsi="Cambria" w:cs="Times New Roman"/>
        </w:rPr>
        <w:t>en</w:t>
      </w:r>
      <w:proofErr w:type="spellEnd"/>
      <w:r w:rsidRPr="004D496B">
        <w:rPr>
          <w:rFonts w:ascii="Cambria" w:eastAsia="Times New Roman" w:hAnsi="Cambria" w:cs="Times New Roman"/>
        </w:rPr>
        <w:t xml:space="preserve"> </w:t>
      </w:r>
      <w:proofErr w:type="spellStart"/>
      <w:r w:rsidRPr="004D496B">
        <w:rPr>
          <w:rFonts w:ascii="Cambria" w:eastAsia="Times New Roman" w:hAnsi="Cambria" w:cs="Times New Roman"/>
        </w:rPr>
        <w:t>cas</w:t>
      </w:r>
      <w:proofErr w:type="spellEnd"/>
      <w:r w:rsidRPr="004D496B">
        <w:rPr>
          <w:rFonts w:ascii="Cambria" w:eastAsia="Times New Roman" w:hAnsi="Cambria" w:cs="Times New Roman"/>
        </w:rPr>
        <w:t xml:space="preserve"> de fistule anale active ou si la patiente a une poche</w:t>
      </w:r>
      <w:r w:rsidR="00943F1A" w:rsidRPr="00886EA6">
        <w:rPr>
          <w:rFonts w:ascii="Cambria" w:eastAsia="Times New Roman" w:hAnsi="Cambria" w:cs="Times New Roman"/>
          <w:lang w:val="fr-BE"/>
        </w:rPr>
        <w:t xml:space="preserve"> en J (</w:t>
      </w:r>
      <w:r w:rsidR="00943F1A">
        <w:rPr>
          <w:rFonts w:ascii="Cambria" w:eastAsia="Times New Roman" w:hAnsi="Cambria" w:cs="Times New Roman"/>
          <w:lang w:val="fr-BE"/>
        </w:rPr>
        <w:t>néo-rectum)</w:t>
      </w:r>
      <w:r w:rsidRPr="004D496B">
        <w:rPr>
          <w:rFonts w:ascii="Cambria" w:eastAsia="Times New Roman" w:hAnsi="Cambria" w:cs="Times New Roman"/>
        </w:rPr>
        <w:t>. Une césarienne est alors recommandée.</w:t>
      </w:r>
    </w:p>
    <w:p w14:paraId="6F384055" w14:textId="77777777" w:rsidR="006F3307" w:rsidRPr="006F3307" w:rsidRDefault="006F3307" w:rsidP="006F3307">
      <w:pPr>
        <w:spacing w:after="240" w:line="240" w:lineRule="auto"/>
        <w:rPr>
          <w:rFonts w:ascii="Times New Roman" w:eastAsia="Times New Roman" w:hAnsi="Times New Roman" w:cs="Times New Roman"/>
          <w:sz w:val="24"/>
          <w:szCs w:val="24"/>
        </w:rPr>
      </w:pPr>
    </w:p>
    <w:p w14:paraId="5C08FC2E" w14:textId="31C6A508" w:rsidR="006F3307" w:rsidRPr="006F3307" w:rsidRDefault="004D496B" w:rsidP="006F3307">
      <w:pPr>
        <w:spacing w:after="200" w:line="240" w:lineRule="auto"/>
        <w:jc w:val="both"/>
        <w:rPr>
          <w:rFonts w:ascii="Times New Roman" w:eastAsia="Times New Roman" w:hAnsi="Times New Roman" w:cs="Times New Roman"/>
          <w:sz w:val="24"/>
          <w:szCs w:val="24"/>
          <w:lang w:val="fr-BE"/>
        </w:rPr>
      </w:pPr>
      <w:r w:rsidRPr="004D496B">
        <w:rPr>
          <w:rFonts w:ascii="Cambria" w:eastAsia="Times New Roman" w:hAnsi="Cambria" w:cs="Times New Roman"/>
          <w:b/>
          <w:bCs/>
          <w:color w:val="000000"/>
          <w:lang w:val="fr-BE"/>
        </w:rPr>
        <w:t>L’ALLAITEMENT MATERNEL</w:t>
      </w:r>
    </w:p>
    <w:p w14:paraId="7960A87E" w14:textId="1B0CE91D" w:rsidR="004D496B" w:rsidRDefault="004D496B" w:rsidP="004D496B">
      <w:pPr>
        <w:spacing w:after="0" w:line="240" w:lineRule="auto"/>
        <w:ind w:left="360"/>
        <w:jc w:val="both"/>
        <w:rPr>
          <w:rFonts w:ascii="Cambria" w:eastAsia="Times New Roman" w:hAnsi="Cambria" w:cs="Times New Roman"/>
        </w:rPr>
      </w:pPr>
      <w:r w:rsidRPr="004D496B">
        <w:rPr>
          <w:rFonts w:ascii="Cambria" w:eastAsia="Times New Roman" w:hAnsi="Cambria" w:cs="Times New Roman"/>
          <w:lang w:val="fr-BE"/>
        </w:rPr>
        <w:t xml:space="preserve">Les MICI </w:t>
      </w:r>
      <w:r w:rsidR="00BC3414" w:rsidRPr="004D496B">
        <w:rPr>
          <w:rFonts w:ascii="Cambria" w:eastAsia="Times New Roman" w:hAnsi="Cambria" w:cs="Times New Roman"/>
        </w:rPr>
        <w:t xml:space="preserve">ne doivent pas être une raison d'abandonner l'allaitement. </w:t>
      </w:r>
      <w:proofErr w:type="spellStart"/>
      <w:r w:rsidR="00BC3414" w:rsidRPr="004D496B">
        <w:rPr>
          <w:rFonts w:ascii="Cambria" w:eastAsia="Times New Roman" w:hAnsi="Cambria" w:cs="Times New Roman"/>
        </w:rPr>
        <w:t>L'allaitement</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maternel</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présente</w:t>
      </w:r>
      <w:proofErr w:type="spellEnd"/>
      <w:r w:rsidR="00BC3414" w:rsidRPr="004D496B">
        <w:rPr>
          <w:rFonts w:ascii="Cambria" w:eastAsia="Times New Roman" w:hAnsi="Cambria" w:cs="Times New Roman"/>
        </w:rPr>
        <w:t xml:space="preserve"> des </w:t>
      </w:r>
      <w:proofErr w:type="spellStart"/>
      <w:r w:rsidR="00BC3414" w:rsidRPr="004D496B">
        <w:rPr>
          <w:rFonts w:ascii="Cambria" w:eastAsia="Times New Roman" w:hAnsi="Cambria" w:cs="Times New Roman"/>
        </w:rPr>
        <w:t>avantages</w:t>
      </w:r>
      <w:proofErr w:type="spellEnd"/>
      <w:r w:rsidR="0082034E" w:rsidRPr="00886EA6">
        <w:rPr>
          <w:rFonts w:ascii="Cambria" w:eastAsia="Times New Roman" w:hAnsi="Cambria" w:cs="Times New Roman"/>
          <w:lang w:val="fr-BE"/>
        </w:rPr>
        <w:t xml:space="preserve"> certains</w:t>
      </w:r>
      <w:r w:rsidR="00BC3414" w:rsidRPr="004D496B">
        <w:rPr>
          <w:rFonts w:ascii="Cambria" w:eastAsia="Times New Roman" w:hAnsi="Cambria" w:cs="Times New Roman"/>
        </w:rPr>
        <w:t>. Par exemple, chez la mère, elle pourrait éventuellement entraîner moins de poussées</w:t>
      </w:r>
      <w:r w:rsidR="0082034E" w:rsidRPr="00886EA6">
        <w:rPr>
          <w:rFonts w:ascii="Cambria" w:eastAsia="Times New Roman" w:hAnsi="Cambria" w:cs="Times New Roman"/>
          <w:lang w:val="fr-BE"/>
        </w:rPr>
        <w:t xml:space="preserve"> inflammatoires</w:t>
      </w:r>
      <w:r w:rsidR="00BC3414" w:rsidRPr="004D496B">
        <w:rPr>
          <w:rFonts w:ascii="Cambria" w:eastAsia="Times New Roman" w:hAnsi="Cambria" w:cs="Times New Roman"/>
        </w:rPr>
        <w:t xml:space="preserve"> de la maladie et chez l'enfant, elle est souvent associée à une diminution des allergies. La </w:t>
      </w:r>
      <w:proofErr w:type="spellStart"/>
      <w:r w:rsidR="00BC3414" w:rsidRPr="004D496B">
        <w:rPr>
          <w:rFonts w:ascii="Cambria" w:eastAsia="Times New Roman" w:hAnsi="Cambria" w:cs="Times New Roman"/>
        </w:rPr>
        <w:t>plupart</w:t>
      </w:r>
      <w:proofErr w:type="spellEnd"/>
      <w:r w:rsidR="00BC3414" w:rsidRPr="004D496B">
        <w:rPr>
          <w:rFonts w:ascii="Cambria" w:eastAsia="Times New Roman" w:hAnsi="Cambria" w:cs="Times New Roman"/>
        </w:rPr>
        <w:t xml:space="preserve"> des </w:t>
      </w:r>
      <w:proofErr w:type="spellStart"/>
      <w:r w:rsidR="00BC3414" w:rsidRPr="004D496B">
        <w:rPr>
          <w:rFonts w:ascii="Cambria" w:eastAsia="Times New Roman" w:hAnsi="Cambria" w:cs="Times New Roman"/>
        </w:rPr>
        <w:t>traitements</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prescrits</w:t>
      </w:r>
      <w:proofErr w:type="spellEnd"/>
      <w:r w:rsidR="00BC3414" w:rsidRPr="004D496B">
        <w:rPr>
          <w:rFonts w:ascii="Cambria" w:eastAsia="Times New Roman" w:hAnsi="Cambria" w:cs="Times New Roman"/>
        </w:rPr>
        <w:t xml:space="preserve"> pour les MICI ne </w:t>
      </w:r>
      <w:proofErr w:type="spellStart"/>
      <w:r w:rsidR="00BC3414" w:rsidRPr="004D496B">
        <w:rPr>
          <w:rFonts w:ascii="Cambria" w:eastAsia="Times New Roman" w:hAnsi="Cambria" w:cs="Times New Roman"/>
        </w:rPr>
        <w:t>passent</w:t>
      </w:r>
      <w:proofErr w:type="spellEnd"/>
      <w:r w:rsidR="00BC3414" w:rsidRPr="004D496B">
        <w:rPr>
          <w:rFonts w:ascii="Cambria" w:eastAsia="Times New Roman" w:hAnsi="Cambria" w:cs="Times New Roman"/>
        </w:rPr>
        <w:t xml:space="preserve"> pas dans le lait </w:t>
      </w:r>
      <w:proofErr w:type="spellStart"/>
      <w:r w:rsidR="00BC3414" w:rsidRPr="004D496B">
        <w:rPr>
          <w:rFonts w:ascii="Cambria" w:eastAsia="Times New Roman" w:hAnsi="Cambria" w:cs="Times New Roman"/>
        </w:rPr>
        <w:t>maternel</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ou</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seulement</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en</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quantités</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minimes</w:t>
      </w:r>
      <w:proofErr w:type="spellEnd"/>
      <w:r w:rsidR="00BC3414" w:rsidRPr="004D496B">
        <w:rPr>
          <w:rFonts w:ascii="Cambria" w:eastAsia="Times New Roman" w:hAnsi="Cambria" w:cs="Times New Roman"/>
        </w:rPr>
        <w:t xml:space="preserve">, et </w:t>
      </w:r>
      <w:proofErr w:type="spellStart"/>
      <w:r w:rsidR="00BC3414" w:rsidRPr="004D496B">
        <w:rPr>
          <w:rFonts w:ascii="Cambria" w:eastAsia="Times New Roman" w:hAnsi="Cambria" w:cs="Times New Roman"/>
        </w:rPr>
        <w:t>peuvent</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donc</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être</w:t>
      </w:r>
      <w:proofErr w:type="spellEnd"/>
      <w:r w:rsidR="00BC3414" w:rsidRPr="004D496B">
        <w:rPr>
          <w:rFonts w:ascii="Cambria" w:eastAsia="Times New Roman" w:hAnsi="Cambria" w:cs="Times New Roman"/>
        </w:rPr>
        <w:t xml:space="preserve"> </w:t>
      </w:r>
      <w:r w:rsidR="0082034E" w:rsidRPr="00886EA6">
        <w:rPr>
          <w:rFonts w:ascii="Cambria" w:eastAsia="Times New Roman" w:hAnsi="Cambria" w:cs="Times New Roman"/>
          <w:lang w:val="fr-BE"/>
        </w:rPr>
        <w:t>utilisés</w:t>
      </w:r>
      <w:r w:rsidR="00BC3414" w:rsidRPr="004D496B">
        <w:rPr>
          <w:rFonts w:ascii="Cambria" w:eastAsia="Times New Roman" w:hAnsi="Cambria" w:cs="Times New Roman"/>
        </w:rPr>
        <w:t xml:space="preserve">. Dans le cas des thiopurines et des corticostéroïdes systémiques, il est recommandé de laisser au moins quatre heures entre la prise du médicament et l'allaitement, car des quantités minimes de ces médicaments peuvent encore passer dans le lait maternel. On </w:t>
      </w:r>
      <w:r w:rsidR="0082034E" w:rsidRPr="00886EA6">
        <w:rPr>
          <w:rFonts w:ascii="Cambria" w:eastAsia="Times New Roman" w:hAnsi="Cambria" w:cs="Times New Roman"/>
          <w:lang w:val="fr-BE"/>
        </w:rPr>
        <w:t>a</w:t>
      </w:r>
      <w:r w:rsidR="0082034E"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peu</w:t>
      </w:r>
      <w:proofErr w:type="spellEnd"/>
      <w:r w:rsidR="00BC3414" w:rsidRPr="004D496B">
        <w:rPr>
          <w:rFonts w:ascii="Cambria" w:eastAsia="Times New Roman" w:hAnsi="Cambria" w:cs="Times New Roman"/>
        </w:rPr>
        <w:t xml:space="preserve"> de </w:t>
      </w:r>
      <w:proofErr w:type="spellStart"/>
      <w:r w:rsidR="00BC3414" w:rsidRPr="004D496B">
        <w:rPr>
          <w:rFonts w:ascii="Cambria" w:eastAsia="Times New Roman" w:hAnsi="Cambria" w:cs="Times New Roman"/>
        </w:rPr>
        <w:t>données</w:t>
      </w:r>
      <w:proofErr w:type="spellEnd"/>
      <w:r w:rsidR="00BC3414" w:rsidRPr="004D496B">
        <w:rPr>
          <w:rFonts w:ascii="Cambria" w:eastAsia="Times New Roman" w:hAnsi="Cambria" w:cs="Times New Roman"/>
        </w:rPr>
        <w:t xml:space="preserve"> sur </w:t>
      </w:r>
      <w:proofErr w:type="spellStart"/>
      <w:r w:rsidR="00BC3414" w:rsidRPr="004D496B">
        <w:rPr>
          <w:rFonts w:ascii="Cambria" w:eastAsia="Times New Roman" w:hAnsi="Cambria" w:cs="Times New Roman"/>
        </w:rPr>
        <w:t>l'influence</w:t>
      </w:r>
      <w:proofErr w:type="spellEnd"/>
      <w:r w:rsidR="00BC3414" w:rsidRPr="004D496B">
        <w:rPr>
          <w:rFonts w:ascii="Cambria" w:eastAsia="Times New Roman" w:hAnsi="Cambria" w:cs="Times New Roman"/>
        </w:rPr>
        <w:t xml:space="preserve"> des </w:t>
      </w:r>
      <w:proofErr w:type="spellStart"/>
      <w:r w:rsidR="00BC3414" w:rsidRPr="004D496B">
        <w:rPr>
          <w:rFonts w:ascii="Cambria" w:eastAsia="Times New Roman" w:hAnsi="Cambria" w:cs="Times New Roman"/>
        </w:rPr>
        <w:t>traitements</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biologiques</w:t>
      </w:r>
      <w:proofErr w:type="spellEnd"/>
      <w:r w:rsidR="00BC3414" w:rsidRPr="004D496B">
        <w:rPr>
          <w:rFonts w:ascii="Cambria" w:eastAsia="Times New Roman" w:hAnsi="Cambria" w:cs="Times New Roman"/>
        </w:rPr>
        <w:t xml:space="preserve"> et de </w:t>
      </w:r>
      <w:proofErr w:type="spellStart"/>
      <w:r w:rsidR="00BC3414" w:rsidRPr="004D496B">
        <w:rPr>
          <w:rFonts w:ascii="Cambria" w:eastAsia="Times New Roman" w:hAnsi="Cambria" w:cs="Times New Roman"/>
        </w:rPr>
        <w:t>l'allaitement</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mais</w:t>
      </w:r>
      <w:proofErr w:type="spellEnd"/>
      <w:r w:rsidR="00BC3414" w:rsidRPr="004D496B">
        <w:rPr>
          <w:rFonts w:ascii="Cambria" w:eastAsia="Times New Roman" w:hAnsi="Cambria" w:cs="Times New Roman"/>
        </w:rPr>
        <w:t xml:space="preserve"> on suppose </w:t>
      </w:r>
      <w:proofErr w:type="spellStart"/>
      <w:r w:rsidR="00BC3414" w:rsidRPr="004D496B">
        <w:rPr>
          <w:rFonts w:ascii="Cambria" w:eastAsia="Times New Roman" w:hAnsi="Cambria" w:cs="Times New Roman"/>
        </w:rPr>
        <w:lastRenderedPageBreak/>
        <w:t>qu'ils</w:t>
      </w:r>
      <w:proofErr w:type="spellEnd"/>
      <w:r w:rsidR="00BC3414" w:rsidRPr="004D496B">
        <w:rPr>
          <w:rFonts w:ascii="Cambria" w:eastAsia="Times New Roman" w:hAnsi="Cambria" w:cs="Times New Roman"/>
        </w:rPr>
        <w:t xml:space="preserve"> </w:t>
      </w:r>
      <w:proofErr w:type="spellStart"/>
      <w:r w:rsidR="00BC3414" w:rsidRPr="004D496B">
        <w:rPr>
          <w:rFonts w:ascii="Cambria" w:eastAsia="Times New Roman" w:hAnsi="Cambria" w:cs="Times New Roman"/>
        </w:rPr>
        <w:t>sont</w:t>
      </w:r>
      <w:proofErr w:type="spellEnd"/>
      <w:r w:rsidR="00BC3414" w:rsidRPr="004D496B">
        <w:rPr>
          <w:rFonts w:ascii="Cambria" w:eastAsia="Times New Roman" w:hAnsi="Cambria" w:cs="Times New Roman"/>
        </w:rPr>
        <w:t xml:space="preserve"> sans danger. Si vous souhaitez allaiter, nous vous recommandons d'en discuter avec votre médecin.</w:t>
      </w:r>
    </w:p>
    <w:p w14:paraId="2E41D9CC" w14:textId="77777777" w:rsidR="004D496B" w:rsidRDefault="004D496B" w:rsidP="004D496B">
      <w:pPr>
        <w:spacing w:after="0" w:line="240" w:lineRule="auto"/>
        <w:ind w:left="360"/>
        <w:jc w:val="both"/>
        <w:rPr>
          <w:rFonts w:ascii="Cambria" w:eastAsia="Times New Roman" w:hAnsi="Cambria" w:cs="Times New Roman"/>
        </w:rPr>
      </w:pPr>
    </w:p>
    <w:p w14:paraId="413A6207" w14:textId="77777777" w:rsidR="004D496B" w:rsidRDefault="004D496B" w:rsidP="004D496B">
      <w:pPr>
        <w:spacing w:after="0" w:line="240" w:lineRule="auto"/>
        <w:ind w:left="360"/>
        <w:jc w:val="both"/>
        <w:rPr>
          <w:rFonts w:ascii="Cambria" w:eastAsia="Times New Roman" w:hAnsi="Cambria" w:cs="Times New Roman"/>
        </w:rPr>
      </w:pPr>
    </w:p>
    <w:p w14:paraId="4C1CAC8B" w14:textId="2F4D3D6E" w:rsidR="006F3307" w:rsidRPr="006F3307" w:rsidRDefault="006F3307" w:rsidP="004D496B">
      <w:pPr>
        <w:spacing w:after="0" w:line="240" w:lineRule="auto"/>
        <w:ind w:left="360"/>
        <w:jc w:val="both"/>
        <w:rPr>
          <w:rFonts w:ascii="Cambria" w:eastAsia="Times New Roman" w:hAnsi="Cambria" w:cs="Times New Roman"/>
          <w:b/>
          <w:bCs/>
        </w:rPr>
      </w:pPr>
      <w:r w:rsidRPr="006F3307">
        <w:rPr>
          <w:rFonts w:ascii="Cambria" w:eastAsia="Times New Roman" w:hAnsi="Cambria"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1758"/>
        <w:gridCol w:w="3169"/>
        <w:gridCol w:w="4079"/>
      </w:tblGrid>
      <w:tr w:rsidR="0085558B" w:rsidRPr="006F3307" w14:paraId="31AB275A" w14:textId="77777777" w:rsidTr="006F3307">
        <w:tc>
          <w:tcPr>
            <w:tcW w:w="0" w:type="auto"/>
            <w:tcBorders>
              <w:top w:val="single" w:sz="8" w:space="0" w:color="404040"/>
              <w:left w:val="single" w:sz="8" w:space="0" w:color="404040"/>
              <w:bottom w:val="single" w:sz="8" w:space="0" w:color="404040"/>
            </w:tcBorders>
            <w:shd w:val="clear" w:color="auto" w:fill="000000"/>
            <w:tcMar>
              <w:top w:w="0" w:type="dxa"/>
              <w:left w:w="108" w:type="dxa"/>
              <w:bottom w:w="0" w:type="dxa"/>
              <w:right w:w="108" w:type="dxa"/>
            </w:tcMar>
            <w:hideMark/>
          </w:tcPr>
          <w:p w14:paraId="03143C79" w14:textId="72590076" w:rsidR="006F3307" w:rsidRPr="006F3307" w:rsidRDefault="006F3307" w:rsidP="006F3307">
            <w:pPr>
              <w:spacing w:after="200" w:line="240" w:lineRule="auto"/>
              <w:jc w:val="both"/>
              <w:rPr>
                <w:rFonts w:ascii="Times New Roman" w:eastAsia="Times New Roman" w:hAnsi="Times New Roman" w:cs="Times New Roman"/>
                <w:color w:val="FFFFFF" w:themeColor="background1"/>
                <w:sz w:val="24"/>
                <w:szCs w:val="24"/>
                <w:lang w:val="en-US"/>
              </w:rPr>
            </w:pPr>
            <w:r w:rsidRPr="006F3307">
              <w:rPr>
                <w:rFonts w:ascii="Cambria" w:eastAsia="Times New Roman" w:hAnsi="Cambria" w:cs="Times New Roman"/>
                <w:color w:val="FFFFFF" w:themeColor="background1"/>
                <w:sz w:val="16"/>
                <w:szCs w:val="16"/>
              </w:rPr>
              <w:t>M</w:t>
            </w:r>
            <w:proofErr w:type="spellStart"/>
            <w:r w:rsidR="00BC3414">
              <w:rPr>
                <w:rFonts w:ascii="Cambria" w:eastAsia="Times New Roman" w:hAnsi="Cambria" w:cs="Times New Roman"/>
                <w:color w:val="FFFFFF" w:themeColor="background1"/>
                <w:sz w:val="16"/>
                <w:szCs w:val="16"/>
                <w:lang w:val="en-US"/>
              </w:rPr>
              <w:t>édicaments</w:t>
            </w:r>
            <w:proofErr w:type="spellEnd"/>
          </w:p>
        </w:tc>
        <w:tc>
          <w:tcPr>
            <w:tcW w:w="0" w:type="auto"/>
            <w:tcBorders>
              <w:top w:val="single" w:sz="8" w:space="0" w:color="404040"/>
              <w:bottom w:val="single" w:sz="8" w:space="0" w:color="404040"/>
            </w:tcBorders>
            <w:shd w:val="clear" w:color="auto" w:fill="000000"/>
            <w:tcMar>
              <w:top w:w="0" w:type="dxa"/>
              <w:left w:w="108" w:type="dxa"/>
              <w:bottom w:w="0" w:type="dxa"/>
              <w:right w:w="108" w:type="dxa"/>
            </w:tcMar>
            <w:hideMark/>
          </w:tcPr>
          <w:p w14:paraId="3A60979E" w14:textId="68758088" w:rsidR="006F3307" w:rsidRPr="006F3307" w:rsidRDefault="00BC3414" w:rsidP="006F3307">
            <w:pPr>
              <w:spacing w:after="200" w:line="240" w:lineRule="auto"/>
              <w:jc w:val="both"/>
              <w:rPr>
                <w:rFonts w:ascii="Cambria" w:eastAsia="Times New Roman" w:hAnsi="Cambria" w:cs="Times New Roman"/>
                <w:color w:val="FFFFFF" w:themeColor="background1"/>
                <w:sz w:val="24"/>
                <w:szCs w:val="24"/>
                <w:lang w:val="en-US"/>
              </w:rPr>
            </w:pPr>
            <w:r w:rsidRPr="00BC3414">
              <w:rPr>
                <w:rFonts w:ascii="Cambria" w:eastAsia="Times New Roman" w:hAnsi="Cambria" w:cs="Times New Roman"/>
                <w:color w:val="FFFFFF" w:themeColor="background1"/>
                <w:sz w:val="16"/>
                <w:szCs w:val="16"/>
                <w:lang w:val="en-US"/>
              </w:rPr>
              <w:t xml:space="preserve">Pendant la </w:t>
            </w:r>
            <w:proofErr w:type="spellStart"/>
            <w:r w:rsidRPr="00BC3414">
              <w:rPr>
                <w:rFonts w:ascii="Cambria" w:eastAsia="Times New Roman" w:hAnsi="Cambria" w:cs="Times New Roman"/>
                <w:color w:val="FFFFFF" w:themeColor="background1"/>
                <w:sz w:val="16"/>
                <w:szCs w:val="16"/>
                <w:lang w:val="en-US"/>
              </w:rPr>
              <w:t>grossesse</w:t>
            </w:r>
            <w:proofErr w:type="spellEnd"/>
          </w:p>
        </w:tc>
        <w:tc>
          <w:tcPr>
            <w:tcW w:w="0" w:type="auto"/>
            <w:tcBorders>
              <w:top w:val="single" w:sz="8" w:space="0" w:color="404040"/>
              <w:bottom w:val="single" w:sz="8" w:space="0" w:color="404040"/>
              <w:right w:val="single" w:sz="8" w:space="0" w:color="404040"/>
            </w:tcBorders>
            <w:shd w:val="clear" w:color="auto" w:fill="000000"/>
            <w:tcMar>
              <w:top w:w="0" w:type="dxa"/>
              <w:left w:w="108" w:type="dxa"/>
              <w:bottom w:w="0" w:type="dxa"/>
              <w:right w:w="108" w:type="dxa"/>
            </w:tcMar>
            <w:hideMark/>
          </w:tcPr>
          <w:p w14:paraId="26A561F1" w14:textId="387A36E4" w:rsidR="006F3307" w:rsidRPr="006F3307" w:rsidRDefault="00BC3414" w:rsidP="006F3307">
            <w:pPr>
              <w:spacing w:after="200" w:line="240" w:lineRule="auto"/>
              <w:jc w:val="both"/>
              <w:rPr>
                <w:rFonts w:ascii="Cambria" w:eastAsia="Times New Roman" w:hAnsi="Cambria" w:cs="Times New Roman"/>
                <w:color w:val="FFFFFF" w:themeColor="background1"/>
                <w:sz w:val="24"/>
                <w:szCs w:val="24"/>
                <w:lang w:val="en-US"/>
              </w:rPr>
            </w:pPr>
            <w:r w:rsidRPr="00BC3414">
              <w:rPr>
                <w:rFonts w:ascii="Cambria" w:eastAsia="Times New Roman" w:hAnsi="Cambria" w:cs="Times New Roman"/>
                <w:color w:val="FFFFFF" w:themeColor="background1"/>
                <w:sz w:val="16"/>
                <w:szCs w:val="16"/>
                <w:lang w:val="en-US"/>
              </w:rPr>
              <w:t xml:space="preserve">Pendant </w:t>
            </w:r>
            <w:proofErr w:type="spellStart"/>
            <w:r w:rsidRPr="00BC3414">
              <w:rPr>
                <w:rFonts w:ascii="Cambria" w:eastAsia="Times New Roman" w:hAnsi="Cambria" w:cs="Times New Roman"/>
                <w:color w:val="FFFFFF" w:themeColor="background1"/>
                <w:sz w:val="16"/>
                <w:szCs w:val="16"/>
                <w:lang w:val="en-US"/>
              </w:rPr>
              <w:t>l’allaitement</w:t>
            </w:r>
            <w:proofErr w:type="spellEnd"/>
          </w:p>
        </w:tc>
      </w:tr>
      <w:tr w:rsidR="0085558B" w:rsidRPr="006F3307" w14:paraId="2C5BEE22" w14:textId="77777777" w:rsidTr="006F3307">
        <w:tc>
          <w:tcPr>
            <w:tcW w:w="0" w:type="auto"/>
            <w:tcBorders>
              <w:top w:val="single" w:sz="8" w:space="0" w:color="404040"/>
              <w:left w:val="single" w:sz="8" w:space="0" w:color="404040"/>
              <w:bottom w:val="single" w:sz="8" w:space="0" w:color="404040"/>
            </w:tcBorders>
            <w:shd w:val="clear" w:color="auto" w:fill="C0C0C0"/>
            <w:tcMar>
              <w:top w:w="0" w:type="dxa"/>
              <w:left w:w="108" w:type="dxa"/>
              <w:bottom w:w="0" w:type="dxa"/>
              <w:right w:w="108" w:type="dxa"/>
            </w:tcMar>
            <w:hideMark/>
          </w:tcPr>
          <w:p w14:paraId="0E118882" w14:textId="41FA6FC8" w:rsidR="006F3307" w:rsidRPr="006F3307" w:rsidRDefault="0085558B" w:rsidP="006F3307">
            <w:pPr>
              <w:spacing w:after="200" w:line="240" w:lineRule="auto"/>
              <w:rPr>
                <w:rFonts w:ascii="Times New Roman" w:eastAsia="Times New Roman" w:hAnsi="Times New Roman" w:cs="Times New Roman"/>
                <w:sz w:val="24"/>
                <w:szCs w:val="24"/>
              </w:rPr>
            </w:pPr>
            <w:proofErr w:type="spellStart"/>
            <w:r>
              <w:rPr>
                <w:rFonts w:ascii="Cambria" w:eastAsia="Times New Roman" w:hAnsi="Cambria" w:cs="Times New Roman"/>
                <w:color w:val="000000"/>
                <w:sz w:val="16"/>
                <w:szCs w:val="16"/>
                <w:lang w:val="en-US"/>
              </w:rPr>
              <w:t>Mé</w:t>
            </w:r>
            <w:r w:rsidR="006F3307" w:rsidRPr="006F3307">
              <w:rPr>
                <w:rFonts w:ascii="Cambria" w:eastAsia="Times New Roman" w:hAnsi="Cambria" w:cs="Times New Roman"/>
                <w:color w:val="000000"/>
                <w:sz w:val="16"/>
                <w:szCs w:val="16"/>
              </w:rPr>
              <w:t>salazine</w:t>
            </w:r>
            <w:proofErr w:type="spellEnd"/>
          </w:p>
        </w:tc>
        <w:tc>
          <w:tcPr>
            <w:tcW w:w="0" w:type="auto"/>
            <w:tcBorders>
              <w:top w:val="single" w:sz="8" w:space="0" w:color="404040"/>
              <w:bottom w:val="single" w:sz="8" w:space="0" w:color="404040"/>
            </w:tcBorders>
            <w:shd w:val="clear" w:color="auto" w:fill="C0C0C0"/>
            <w:tcMar>
              <w:top w:w="0" w:type="dxa"/>
              <w:left w:w="108" w:type="dxa"/>
              <w:bottom w:w="0" w:type="dxa"/>
              <w:right w:w="108" w:type="dxa"/>
            </w:tcMar>
            <w:hideMark/>
          </w:tcPr>
          <w:p w14:paraId="51AE8A6A" w14:textId="71F932C8" w:rsidR="006F3307" w:rsidRPr="006F3307" w:rsidRDefault="0085558B" w:rsidP="006F3307">
            <w:pPr>
              <w:spacing w:after="200" w:line="240" w:lineRule="auto"/>
              <w:rPr>
                <w:rFonts w:ascii="Cambria" w:eastAsia="Times New Roman" w:hAnsi="Cambria" w:cs="Times New Roman"/>
                <w:sz w:val="24"/>
                <w:szCs w:val="24"/>
                <w:lang w:val="en-US"/>
              </w:rPr>
            </w:pPr>
            <w:proofErr w:type="spellStart"/>
            <w:r w:rsidRPr="0085558B">
              <w:rPr>
                <w:rFonts w:ascii="Cambria" w:eastAsia="Times New Roman" w:hAnsi="Cambria" w:cs="Times New Roman"/>
                <w:sz w:val="16"/>
                <w:szCs w:val="16"/>
                <w:lang w:val="en-US"/>
              </w:rPr>
              <w:t>Risque</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faible</w:t>
            </w:r>
            <w:proofErr w:type="spellEnd"/>
          </w:p>
        </w:tc>
        <w:tc>
          <w:tcPr>
            <w:tcW w:w="0" w:type="auto"/>
            <w:tcBorders>
              <w:top w:val="single" w:sz="8" w:space="0" w:color="404040"/>
              <w:bottom w:val="single" w:sz="8" w:space="0" w:color="404040"/>
              <w:right w:val="single" w:sz="8" w:space="0" w:color="404040"/>
            </w:tcBorders>
            <w:shd w:val="clear" w:color="auto" w:fill="C0C0C0"/>
            <w:tcMar>
              <w:top w:w="0" w:type="dxa"/>
              <w:left w:w="108" w:type="dxa"/>
              <w:bottom w:w="0" w:type="dxa"/>
              <w:right w:w="108" w:type="dxa"/>
            </w:tcMar>
            <w:hideMark/>
          </w:tcPr>
          <w:p w14:paraId="3000DE46" w14:textId="127427ED" w:rsidR="006F3307" w:rsidRPr="006F3307" w:rsidRDefault="0085558B" w:rsidP="006F3307">
            <w:pPr>
              <w:spacing w:after="200" w:line="240" w:lineRule="auto"/>
              <w:rPr>
                <w:rFonts w:ascii="Times New Roman" w:eastAsia="Times New Roman" w:hAnsi="Times New Roman" w:cs="Times New Roman"/>
                <w:sz w:val="24"/>
                <w:szCs w:val="24"/>
              </w:rPr>
            </w:pPr>
            <w:proofErr w:type="spellStart"/>
            <w:r w:rsidRPr="0085558B">
              <w:rPr>
                <w:rFonts w:ascii="Cambria" w:eastAsia="Times New Roman" w:hAnsi="Cambria" w:cs="Times New Roman"/>
                <w:sz w:val="16"/>
                <w:szCs w:val="16"/>
                <w:lang w:val="en-US"/>
              </w:rPr>
              <w:t>Risque</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faible</w:t>
            </w:r>
            <w:proofErr w:type="spellEnd"/>
          </w:p>
        </w:tc>
      </w:tr>
      <w:tr w:rsidR="0085558B" w:rsidRPr="006F3307" w14:paraId="628AE67E" w14:textId="77777777" w:rsidTr="006F3307">
        <w:tc>
          <w:tcPr>
            <w:tcW w:w="0" w:type="auto"/>
            <w:tcBorders>
              <w:top w:val="single" w:sz="8" w:space="0" w:color="404040"/>
              <w:left w:val="single" w:sz="8" w:space="0" w:color="404040"/>
              <w:bottom w:val="single" w:sz="8" w:space="0" w:color="404040"/>
            </w:tcBorders>
            <w:tcMar>
              <w:top w:w="0" w:type="dxa"/>
              <w:left w:w="108" w:type="dxa"/>
              <w:bottom w:w="0" w:type="dxa"/>
              <w:right w:w="108" w:type="dxa"/>
            </w:tcMar>
            <w:hideMark/>
          </w:tcPr>
          <w:p w14:paraId="5DCB6BDC" w14:textId="0EFDCF83" w:rsidR="0085558B" w:rsidRPr="004E3DE1" w:rsidRDefault="004E3DE1" w:rsidP="0085558B">
            <w:pPr>
              <w:spacing w:after="200" w:line="240" w:lineRule="auto"/>
              <w:rPr>
                <w:rFonts w:ascii="Cambria" w:eastAsia="Times New Roman" w:hAnsi="Cambria" w:cs="Calibri"/>
                <w:sz w:val="24"/>
                <w:szCs w:val="24"/>
                <w:lang w:val="en-US"/>
              </w:rPr>
            </w:pPr>
            <w:r w:rsidRPr="004E3DE1">
              <w:rPr>
                <w:rFonts w:ascii="Cambria" w:eastAsia="Times New Roman" w:hAnsi="Cambria" w:cs="Calibri"/>
                <w:sz w:val="16"/>
                <w:szCs w:val="16"/>
              </w:rPr>
              <w:t>S</w:t>
            </w:r>
            <w:proofErr w:type="spellStart"/>
            <w:r w:rsidRPr="004E3DE1">
              <w:rPr>
                <w:rFonts w:ascii="Cambria" w:eastAsia="Times New Roman" w:hAnsi="Cambria" w:cs="Calibri"/>
                <w:sz w:val="16"/>
                <w:szCs w:val="16"/>
                <w:lang w:val="en-US"/>
              </w:rPr>
              <w:t>ulfasalazine</w:t>
            </w:r>
            <w:proofErr w:type="spellEnd"/>
          </w:p>
        </w:tc>
        <w:tc>
          <w:tcPr>
            <w:tcW w:w="0" w:type="auto"/>
            <w:tcBorders>
              <w:top w:val="single" w:sz="8" w:space="0" w:color="404040"/>
              <w:bottom w:val="single" w:sz="8" w:space="0" w:color="404040"/>
            </w:tcBorders>
            <w:tcMar>
              <w:top w:w="0" w:type="dxa"/>
              <w:left w:w="108" w:type="dxa"/>
              <w:bottom w:w="0" w:type="dxa"/>
              <w:right w:w="108" w:type="dxa"/>
            </w:tcMar>
            <w:hideMark/>
          </w:tcPr>
          <w:p w14:paraId="5FF5CB22" w14:textId="405750C3" w:rsidR="0085558B" w:rsidRPr="006F3307" w:rsidRDefault="0085558B" w:rsidP="0085558B">
            <w:pPr>
              <w:spacing w:after="200" w:line="240" w:lineRule="auto"/>
              <w:rPr>
                <w:rFonts w:ascii="Times New Roman" w:eastAsia="Times New Roman" w:hAnsi="Times New Roman" w:cs="Times New Roman"/>
                <w:sz w:val="24"/>
                <w:szCs w:val="24"/>
              </w:rPr>
            </w:pPr>
            <w:proofErr w:type="spellStart"/>
            <w:r w:rsidRPr="00F030FC">
              <w:rPr>
                <w:rFonts w:ascii="Cambria" w:eastAsia="Times New Roman" w:hAnsi="Cambria" w:cs="Times New Roman"/>
                <w:sz w:val="16"/>
                <w:szCs w:val="16"/>
                <w:lang w:val="en-US"/>
              </w:rPr>
              <w:t>Risque</w:t>
            </w:r>
            <w:proofErr w:type="spellEnd"/>
            <w:r w:rsidRPr="00F030FC">
              <w:rPr>
                <w:rFonts w:ascii="Cambria" w:eastAsia="Times New Roman" w:hAnsi="Cambria" w:cs="Times New Roman"/>
                <w:sz w:val="16"/>
                <w:szCs w:val="16"/>
                <w:lang w:val="en-US"/>
              </w:rPr>
              <w:t xml:space="preserve"> </w:t>
            </w:r>
            <w:proofErr w:type="spellStart"/>
            <w:r w:rsidRPr="00F030FC">
              <w:rPr>
                <w:rFonts w:ascii="Cambria" w:eastAsia="Times New Roman" w:hAnsi="Cambria" w:cs="Times New Roman"/>
                <w:sz w:val="16"/>
                <w:szCs w:val="16"/>
                <w:lang w:val="en-US"/>
              </w:rPr>
              <w:t>faible</w:t>
            </w:r>
            <w:proofErr w:type="spellEnd"/>
          </w:p>
        </w:tc>
        <w:tc>
          <w:tcPr>
            <w:tcW w:w="0" w:type="auto"/>
            <w:tcBorders>
              <w:top w:val="single" w:sz="8" w:space="0" w:color="404040"/>
              <w:bottom w:val="single" w:sz="8" w:space="0" w:color="404040"/>
              <w:right w:val="single" w:sz="8" w:space="0" w:color="404040"/>
            </w:tcBorders>
            <w:tcMar>
              <w:top w:w="0" w:type="dxa"/>
              <w:left w:w="108" w:type="dxa"/>
              <w:bottom w:w="0" w:type="dxa"/>
              <w:right w:w="108" w:type="dxa"/>
            </w:tcMar>
            <w:hideMark/>
          </w:tcPr>
          <w:p w14:paraId="737ECCFC" w14:textId="62734D15" w:rsidR="0085558B" w:rsidRPr="006F3307" w:rsidRDefault="0085558B" w:rsidP="0085558B">
            <w:pPr>
              <w:spacing w:after="200" w:line="240" w:lineRule="auto"/>
              <w:rPr>
                <w:rFonts w:ascii="Times New Roman" w:eastAsia="Times New Roman" w:hAnsi="Times New Roman" w:cs="Times New Roman"/>
                <w:sz w:val="24"/>
                <w:szCs w:val="24"/>
              </w:rPr>
            </w:pPr>
            <w:proofErr w:type="spellStart"/>
            <w:r w:rsidRPr="00F030FC">
              <w:rPr>
                <w:rFonts w:ascii="Cambria" w:eastAsia="Times New Roman" w:hAnsi="Cambria" w:cs="Times New Roman"/>
                <w:sz w:val="16"/>
                <w:szCs w:val="16"/>
                <w:lang w:val="en-US"/>
              </w:rPr>
              <w:t>Risque</w:t>
            </w:r>
            <w:proofErr w:type="spellEnd"/>
            <w:r w:rsidRPr="00F030FC">
              <w:rPr>
                <w:rFonts w:ascii="Cambria" w:eastAsia="Times New Roman" w:hAnsi="Cambria" w:cs="Times New Roman"/>
                <w:sz w:val="16"/>
                <w:szCs w:val="16"/>
                <w:lang w:val="en-US"/>
              </w:rPr>
              <w:t xml:space="preserve"> </w:t>
            </w:r>
            <w:proofErr w:type="spellStart"/>
            <w:r w:rsidRPr="00F030FC">
              <w:rPr>
                <w:rFonts w:ascii="Cambria" w:eastAsia="Times New Roman" w:hAnsi="Cambria" w:cs="Times New Roman"/>
                <w:sz w:val="16"/>
                <w:szCs w:val="16"/>
                <w:lang w:val="en-US"/>
              </w:rPr>
              <w:t>faible</w:t>
            </w:r>
            <w:proofErr w:type="spellEnd"/>
          </w:p>
        </w:tc>
      </w:tr>
      <w:tr w:rsidR="0085558B" w:rsidRPr="006F3307" w14:paraId="239341DD" w14:textId="77777777" w:rsidTr="006F3307">
        <w:tc>
          <w:tcPr>
            <w:tcW w:w="0" w:type="auto"/>
            <w:tcBorders>
              <w:top w:val="single" w:sz="8" w:space="0" w:color="404040"/>
              <w:left w:val="single" w:sz="8" w:space="0" w:color="404040"/>
              <w:bottom w:val="single" w:sz="8" w:space="0" w:color="404040"/>
            </w:tcBorders>
            <w:shd w:val="clear" w:color="auto" w:fill="C0C0C0"/>
            <w:tcMar>
              <w:top w:w="0" w:type="dxa"/>
              <w:left w:w="108" w:type="dxa"/>
              <w:bottom w:w="0" w:type="dxa"/>
              <w:right w:w="108" w:type="dxa"/>
            </w:tcMar>
            <w:hideMark/>
          </w:tcPr>
          <w:p w14:paraId="05B94EDC" w14:textId="303C88C9" w:rsidR="0085558B" w:rsidRPr="006F3307" w:rsidRDefault="0085558B" w:rsidP="0085558B">
            <w:pPr>
              <w:spacing w:after="200" w:line="240" w:lineRule="auto"/>
              <w:rPr>
                <w:rFonts w:ascii="Times New Roman" w:eastAsia="Times New Roman" w:hAnsi="Times New Roman" w:cs="Times New Roman"/>
                <w:sz w:val="24"/>
                <w:szCs w:val="24"/>
                <w:lang w:val="en-US"/>
              </w:rPr>
            </w:pPr>
            <w:r w:rsidRPr="006F3307">
              <w:rPr>
                <w:rFonts w:ascii="Cambria" w:eastAsia="Times New Roman" w:hAnsi="Cambria" w:cs="Times New Roman"/>
                <w:color w:val="000000"/>
                <w:sz w:val="16"/>
                <w:szCs w:val="16"/>
              </w:rPr>
              <w:t>Corticost</w:t>
            </w:r>
            <w:r>
              <w:rPr>
                <w:rFonts w:ascii="Cambria" w:eastAsia="Times New Roman" w:hAnsi="Cambria" w:cs="Times New Roman"/>
                <w:color w:val="000000"/>
                <w:sz w:val="16"/>
                <w:szCs w:val="16"/>
                <w:lang w:val="en-US"/>
              </w:rPr>
              <w:t>é</w:t>
            </w:r>
            <w:r w:rsidRPr="006F3307">
              <w:rPr>
                <w:rFonts w:ascii="Cambria" w:eastAsia="Times New Roman" w:hAnsi="Cambria" w:cs="Times New Roman"/>
                <w:color w:val="000000"/>
                <w:sz w:val="16"/>
                <w:szCs w:val="16"/>
              </w:rPr>
              <w:t>roïde</w:t>
            </w:r>
            <w:r>
              <w:rPr>
                <w:rFonts w:ascii="Cambria" w:eastAsia="Times New Roman" w:hAnsi="Cambria" w:cs="Times New Roman"/>
                <w:color w:val="000000"/>
                <w:sz w:val="16"/>
                <w:szCs w:val="16"/>
                <w:lang w:val="en-US"/>
              </w:rPr>
              <w:t>s</w:t>
            </w:r>
          </w:p>
        </w:tc>
        <w:tc>
          <w:tcPr>
            <w:tcW w:w="0" w:type="auto"/>
            <w:tcBorders>
              <w:top w:val="single" w:sz="8" w:space="0" w:color="404040"/>
              <w:bottom w:val="single" w:sz="8" w:space="0" w:color="404040"/>
            </w:tcBorders>
            <w:shd w:val="clear" w:color="auto" w:fill="C0C0C0"/>
            <w:tcMar>
              <w:top w:w="0" w:type="dxa"/>
              <w:left w:w="108" w:type="dxa"/>
              <w:bottom w:w="0" w:type="dxa"/>
              <w:right w:w="108" w:type="dxa"/>
            </w:tcMar>
            <w:hideMark/>
          </w:tcPr>
          <w:p w14:paraId="311314A8" w14:textId="03A92FA6" w:rsidR="0085558B" w:rsidRPr="006F3307" w:rsidRDefault="0085558B" w:rsidP="0085558B">
            <w:pPr>
              <w:spacing w:after="200" w:line="240" w:lineRule="auto"/>
              <w:rPr>
                <w:rFonts w:ascii="Cambria" w:eastAsia="Times New Roman" w:hAnsi="Cambria" w:cs="Times New Roman"/>
                <w:sz w:val="24"/>
                <w:szCs w:val="24"/>
                <w:lang w:val="fr-BE"/>
              </w:rPr>
            </w:pPr>
            <w:r w:rsidRPr="0085558B">
              <w:rPr>
                <w:rFonts w:ascii="Cambria" w:eastAsia="Times New Roman" w:hAnsi="Cambria" w:cs="Times New Roman"/>
                <w:sz w:val="16"/>
                <w:szCs w:val="16"/>
                <w:lang w:val="fr-BE"/>
              </w:rPr>
              <w:t>Risque faible, mais éviter l’utilisation prolongée</w:t>
            </w:r>
          </w:p>
        </w:tc>
        <w:tc>
          <w:tcPr>
            <w:tcW w:w="0" w:type="auto"/>
            <w:tcBorders>
              <w:top w:val="single" w:sz="8" w:space="0" w:color="404040"/>
              <w:bottom w:val="single" w:sz="8" w:space="0" w:color="404040"/>
              <w:right w:val="single" w:sz="8" w:space="0" w:color="404040"/>
            </w:tcBorders>
            <w:shd w:val="clear" w:color="auto" w:fill="C0C0C0"/>
            <w:tcMar>
              <w:top w:w="0" w:type="dxa"/>
              <w:left w:w="108" w:type="dxa"/>
              <w:bottom w:w="0" w:type="dxa"/>
              <w:right w:w="108" w:type="dxa"/>
            </w:tcMar>
            <w:hideMark/>
          </w:tcPr>
          <w:p w14:paraId="440C367D" w14:textId="1A3E5F3A" w:rsidR="0085558B" w:rsidRPr="006F3307" w:rsidRDefault="0085558B" w:rsidP="0085558B">
            <w:pPr>
              <w:spacing w:after="200" w:line="240" w:lineRule="auto"/>
              <w:rPr>
                <w:rFonts w:ascii="Times New Roman" w:eastAsia="Times New Roman" w:hAnsi="Times New Roman" w:cs="Times New Roman"/>
                <w:sz w:val="24"/>
                <w:szCs w:val="24"/>
                <w:lang w:val="fr-BE"/>
              </w:rPr>
            </w:pPr>
            <w:r w:rsidRPr="0085558B">
              <w:rPr>
                <w:rFonts w:ascii="Cambria" w:eastAsia="Times New Roman" w:hAnsi="Cambria" w:cs="Times New Roman"/>
                <w:color w:val="000000"/>
                <w:sz w:val="16"/>
                <w:szCs w:val="16"/>
                <w:lang w:val="fr-BE"/>
              </w:rPr>
              <w:t>Risque faible</w:t>
            </w:r>
            <w:r w:rsidRPr="006F3307">
              <w:rPr>
                <w:rFonts w:ascii="Cambria" w:eastAsia="Times New Roman" w:hAnsi="Cambria" w:cs="Times New Roman"/>
                <w:color w:val="000000"/>
                <w:sz w:val="16"/>
                <w:szCs w:val="16"/>
              </w:rPr>
              <w:t xml:space="preserve">, </w:t>
            </w:r>
            <w:r w:rsidRPr="0085558B">
              <w:rPr>
                <w:rFonts w:ascii="Cambria" w:eastAsia="Times New Roman" w:hAnsi="Cambria" w:cs="Times New Roman"/>
                <w:color w:val="000000"/>
                <w:sz w:val="16"/>
                <w:szCs w:val="16"/>
                <w:lang w:val="fr-BE"/>
              </w:rPr>
              <w:t>intervalle de 4 h</w:t>
            </w:r>
            <w:r>
              <w:rPr>
                <w:rFonts w:ascii="Cambria" w:eastAsia="Times New Roman" w:hAnsi="Cambria" w:cs="Times New Roman"/>
                <w:color w:val="000000"/>
                <w:sz w:val="16"/>
                <w:szCs w:val="16"/>
                <w:lang w:val="fr-BE"/>
              </w:rPr>
              <w:t>eur</w:t>
            </w:r>
            <w:r w:rsidR="00943F1A">
              <w:rPr>
                <w:rFonts w:ascii="Cambria" w:eastAsia="Times New Roman" w:hAnsi="Cambria" w:cs="Times New Roman"/>
                <w:color w:val="000000"/>
                <w:sz w:val="16"/>
                <w:szCs w:val="16"/>
                <w:lang w:val="fr-BE"/>
              </w:rPr>
              <w:t>e</w:t>
            </w:r>
            <w:r>
              <w:rPr>
                <w:rFonts w:ascii="Cambria" w:eastAsia="Times New Roman" w:hAnsi="Cambria" w:cs="Times New Roman"/>
                <w:color w:val="000000"/>
                <w:sz w:val="16"/>
                <w:szCs w:val="16"/>
                <w:lang w:val="fr-BE"/>
              </w:rPr>
              <w:t>s entre la prise et l’allaitement</w:t>
            </w:r>
          </w:p>
        </w:tc>
      </w:tr>
      <w:tr w:rsidR="0085558B" w:rsidRPr="006F3307" w14:paraId="79A3F2F9" w14:textId="77777777" w:rsidTr="006F3307">
        <w:tc>
          <w:tcPr>
            <w:tcW w:w="0" w:type="auto"/>
            <w:tcBorders>
              <w:top w:val="single" w:sz="8" w:space="0" w:color="404040"/>
              <w:left w:val="single" w:sz="8" w:space="0" w:color="404040"/>
              <w:bottom w:val="single" w:sz="8" w:space="0" w:color="404040"/>
            </w:tcBorders>
            <w:tcMar>
              <w:top w:w="0" w:type="dxa"/>
              <w:left w:w="108" w:type="dxa"/>
              <w:bottom w:w="0" w:type="dxa"/>
              <w:right w:w="108" w:type="dxa"/>
            </w:tcMar>
            <w:hideMark/>
          </w:tcPr>
          <w:p w14:paraId="635276B4" w14:textId="77777777" w:rsidR="0085558B" w:rsidRPr="006F3307" w:rsidRDefault="0085558B" w:rsidP="0085558B">
            <w:pPr>
              <w:spacing w:after="200" w:line="240" w:lineRule="auto"/>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Thiopurines</w:t>
            </w:r>
          </w:p>
        </w:tc>
        <w:tc>
          <w:tcPr>
            <w:tcW w:w="0" w:type="auto"/>
            <w:tcBorders>
              <w:top w:val="single" w:sz="8" w:space="0" w:color="404040"/>
              <w:bottom w:val="single" w:sz="8" w:space="0" w:color="404040"/>
            </w:tcBorders>
            <w:tcMar>
              <w:top w:w="0" w:type="dxa"/>
              <w:left w:w="108" w:type="dxa"/>
              <w:bottom w:w="0" w:type="dxa"/>
              <w:right w:w="108" w:type="dxa"/>
            </w:tcMar>
            <w:hideMark/>
          </w:tcPr>
          <w:p w14:paraId="6DA0B2CD" w14:textId="513836BC" w:rsidR="0085558B" w:rsidRPr="006F3307" w:rsidRDefault="0085558B" w:rsidP="0085558B">
            <w:pPr>
              <w:spacing w:after="200" w:line="240" w:lineRule="auto"/>
              <w:rPr>
                <w:rFonts w:ascii="Cambria" w:eastAsia="Times New Roman" w:hAnsi="Cambria" w:cs="Times New Roman"/>
                <w:sz w:val="16"/>
                <w:szCs w:val="16"/>
                <w:lang w:val="en-US"/>
              </w:rPr>
            </w:pPr>
            <w:proofErr w:type="spellStart"/>
            <w:r w:rsidRPr="0085558B">
              <w:rPr>
                <w:rFonts w:ascii="Cambria" w:eastAsia="Times New Roman" w:hAnsi="Cambria" w:cs="Times New Roman"/>
                <w:sz w:val="16"/>
                <w:szCs w:val="16"/>
                <w:lang w:val="en-US"/>
              </w:rPr>
              <w:t>Risque</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faible</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en</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monothérapie</w:t>
            </w:r>
            <w:proofErr w:type="spellEnd"/>
          </w:p>
        </w:tc>
        <w:tc>
          <w:tcPr>
            <w:tcW w:w="0" w:type="auto"/>
            <w:tcBorders>
              <w:top w:val="single" w:sz="8" w:space="0" w:color="404040"/>
              <w:bottom w:val="single" w:sz="8" w:space="0" w:color="404040"/>
              <w:right w:val="single" w:sz="8" w:space="0" w:color="404040"/>
            </w:tcBorders>
            <w:tcMar>
              <w:top w:w="0" w:type="dxa"/>
              <w:left w:w="108" w:type="dxa"/>
              <w:bottom w:w="0" w:type="dxa"/>
              <w:right w:w="108" w:type="dxa"/>
            </w:tcMar>
            <w:hideMark/>
          </w:tcPr>
          <w:p w14:paraId="48F85364" w14:textId="195E6C2E" w:rsidR="0085558B" w:rsidRPr="006F3307" w:rsidRDefault="0085558B" w:rsidP="0085558B">
            <w:pPr>
              <w:spacing w:after="200" w:line="240" w:lineRule="auto"/>
              <w:rPr>
                <w:rFonts w:ascii="Times New Roman" w:eastAsia="Times New Roman" w:hAnsi="Times New Roman" w:cs="Times New Roman"/>
                <w:sz w:val="24"/>
                <w:szCs w:val="24"/>
                <w:lang w:val="fr-BE"/>
              </w:rPr>
            </w:pPr>
            <w:r w:rsidRPr="0085558B">
              <w:rPr>
                <w:rFonts w:ascii="Cambria" w:eastAsia="Times New Roman" w:hAnsi="Cambria" w:cs="Times New Roman"/>
                <w:color w:val="000000"/>
                <w:sz w:val="16"/>
                <w:szCs w:val="16"/>
                <w:lang w:val="fr-BE"/>
              </w:rPr>
              <w:t>Risque faible</w:t>
            </w:r>
            <w:r w:rsidRPr="006F3307">
              <w:rPr>
                <w:rFonts w:ascii="Cambria" w:eastAsia="Times New Roman" w:hAnsi="Cambria" w:cs="Times New Roman"/>
                <w:color w:val="000000"/>
                <w:sz w:val="16"/>
                <w:szCs w:val="16"/>
              </w:rPr>
              <w:t xml:space="preserve">, </w:t>
            </w:r>
            <w:r w:rsidRPr="0085558B">
              <w:rPr>
                <w:rFonts w:ascii="Cambria" w:eastAsia="Times New Roman" w:hAnsi="Cambria" w:cs="Times New Roman"/>
                <w:color w:val="000000"/>
                <w:sz w:val="16"/>
                <w:szCs w:val="16"/>
                <w:lang w:val="fr-BE"/>
              </w:rPr>
              <w:t>intervalle de 4 h</w:t>
            </w:r>
            <w:r>
              <w:rPr>
                <w:rFonts w:ascii="Cambria" w:eastAsia="Times New Roman" w:hAnsi="Cambria" w:cs="Times New Roman"/>
                <w:color w:val="000000"/>
                <w:sz w:val="16"/>
                <w:szCs w:val="16"/>
                <w:lang w:val="fr-BE"/>
              </w:rPr>
              <w:t>eur</w:t>
            </w:r>
            <w:r w:rsidR="00943F1A">
              <w:rPr>
                <w:rFonts w:ascii="Cambria" w:eastAsia="Times New Roman" w:hAnsi="Cambria" w:cs="Times New Roman"/>
                <w:color w:val="000000"/>
                <w:sz w:val="16"/>
                <w:szCs w:val="16"/>
                <w:lang w:val="fr-BE"/>
              </w:rPr>
              <w:t>e</w:t>
            </w:r>
            <w:r>
              <w:rPr>
                <w:rFonts w:ascii="Cambria" w:eastAsia="Times New Roman" w:hAnsi="Cambria" w:cs="Times New Roman"/>
                <w:color w:val="000000"/>
                <w:sz w:val="16"/>
                <w:szCs w:val="16"/>
                <w:lang w:val="fr-BE"/>
              </w:rPr>
              <w:t>s entre la prise et l’allaitement</w:t>
            </w:r>
          </w:p>
        </w:tc>
      </w:tr>
      <w:tr w:rsidR="0085558B" w:rsidRPr="006F3307" w14:paraId="040CB568" w14:textId="77777777" w:rsidTr="006F3307">
        <w:tc>
          <w:tcPr>
            <w:tcW w:w="0" w:type="auto"/>
            <w:tcBorders>
              <w:top w:val="single" w:sz="8" w:space="0" w:color="404040"/>
              <w:left w:val="single" w:sz="8" w:space="0" w:color="404040"/>
              <w:bottom w:val="single" w:sz="8" w:space="0" w:color="404040"/>
            </w:tcBorders>
            <w:shd w:val="clear" w:color="auto" w:fill="C0C0C0"/>
            <w:tcMar>
              <w:top w:w="0" w:type="dxa"/>
              <w:left w:w="108" w:type="dxa"/>
              <w:bottom w:w="0" w:type="dxa"/>
              <w:right w:w="108" w:type="dxa"/>
            </w:tcMar>
            <w:hideMark/>
          </w:tcPr>
          <w:p w14:paraId="21AD3DE2" w14:textId="5957CDC8" w:rsidR="0085558B" w:rsidRPr="00886EA6" w:rsidRDefault="0085558B" w:rsidP="0085558B">
            <w:pPr>
              <w:spacing w:after="200" w:line="240" w:lineRule="auto"/>
              <w:rPr>
                <w:rFonts w:ascii="Times New Roman" w:eastAsia="Times New Roman" w:hAnsi="Times New Roman" w:cs="Times New Roman"/>
                <w:sz w:val="24"/>
                <w:szCs w:val="24"/>
                <w:lang w:val="nl-NL"/>
              </w:rPr>
            </w:pPr>
            <w:proofErr w:type="spellStart"/>
            <w:r w:rsidRPr="006F3307">
              <w:rPr>
                <w:rFonts w:ascii="Cambria" w:eastAsia="Times New Roman" w:hAnsi="Cambria" w:cs="Times New Roman"/>
                <w:color w:val="000000"/>
                <w:sz w:val="16"/>
                <w:szCs w:val="16"/>
              </w:rPr>
              <w:t>Methotrexat</w:t>
            </w:r>
            <w:proofErr w:type="spellEnd"/>
            <w:r w:rsidR="00943F1A">
              <w:rPr>
                <w:rFonts w:ascii="Cambria" w:eastAsia="Times New Roman" w:hAnsi="Cambria" w:cs="Times New Roman"/>
                <w:color w:val="000000"/>
                <w:sz w:val="16"/>
                <w:szCs w:val="16"/>
                <w:lang w:val="nl-NL"/>
              </w:rPr>
              <w:t>e</w:t>
            </w:r>
          </w:p>
        </w:tc>
        <w:tc>
          <w:tcPr>
            <w:tcW w:w="0" w:type="auto"/>
            <w:tcBorders>
              <w:top w:val="single" w:sz="8" w:space="0" w:color="404040"/>
              <w:bottom w:val="single" w:sz="8" w:space="0" w:color="404040"/>
            </w:tcBorders>
            <w:shd w:val="clear" w:color="auto" w:fill="C0C0C0"/>
            <w:tcMar>
              <w:top w:w="0" w:type="dxa"/>
              <w:left w:w="108" w:type="dxa"/>
              <w:bottom w:w="0" w:type="dxa"/>
              <w:right w:w="108" w:type="dxa"/>
            </w:tcMar>
            <w:hideMark/>
          </w:tcPr>
          <w:p w14:paraId="0E2BD1A9" w14:textId="344899F5" w:rsidR="0085558B" w:rsidRPr="006F3307" w:rsidRDefault="0085558B" w:rsidP="0085558B">
            <w:pPr>
              <w:spacing w:after="200" w:line="240" w:lineRule="auto"/>
              <w:rPr>
                <w:rFonts w:ascii="Times New Roman" w:eastAsia="Times New Roman" w:hAnsi="Times New Roman" w:cs="Times New Roman"/>
                <w:sz w:val="24"/>
                <w:szCs w:val="24"/>
                <w:lang w:val="en-US"/>
              </w:rPr>
            </w:pPr>
            <w:proofErr w:type="spellStart"/>
            <w:r>
              <w:rPr>
                <w:rFonts w:ascii="Cambria" w:eastAsia="Times New Roman" w:hAnsi="Cambria" w:cs="Times New Roman"/>
                <w:color w:val="000000"/>
                <w:sz w:val="16"/>
                <w:szCs w:val="16"/>
                <w:lang w:val="en-US"/>
              </w:rPr>
              <w:t>Risque</w:t>
            </w:r>
            <w:proofErr w:type="spellEnd"/>
            <w:r>
              <w:rPr>
                <w:rFonts w:ascii="Cambria" w:eastAsia="Times New Roman" w:hAnsi="Cambria" w:cs="Times New Roman"/>
                <w:color w:val="000000"/>
                <w:sz w:val="16"/>
                <w:szCs w:val="16"/>
                <w:lang w:val="en-US"/>
              </w:rPr>
              <w:t xml:space="preserve"> </w:t>
            </w:r>
            <w:proofErr w:type="spellStart"/>
            <w:r>
              <w:rPr>
                <w:rFonts w:ascii="Cambria" w:eastAsia="Times New Roman" w:hAnsi="Cambria" w:cs="Times New Roman"/>
                <w:color w:val="000000"/>
                <w:sz w:val="16"/>
                <w:szCs w:val="16"/>
                <w:lang w:val="en-US"/>
              </w:rPr>
              <w:t>élevé</w:t>
            </w:r>
            <w:proofErr w:type="spellEnd"/>
            <w:r>
              <w:rPr>
                <w:rFonts w:ascii="Cambria" w:eastAsia="Times New Roman" w:hAnsi="Cambria" w:cs="Times New Roman"/>
                <w:color w:val="000000"/>
                <w:sz w:val="16"/>
                <w:szCs w:val="16"/>
                <w:lang w:val="en-US"/>
              </w:rPr>
              <w:t xml:space="preserve"> (à </w:t>
            </w:r>
            <w:proofErr w:type="spellStart"/>
            <w:r>
              <w:rPr>
                <w:rFonts w:ascii="Cambria" w:eastAsia="Times New Roman" w:hAnsi="Cambria" w:cs="Times New Roman"/>
                <w:color w:val="000000"/>
                <w:sz w:val="16"/>
                <w:szCs w:val="16"/>
                <w:lang w:val="en-US"/>
              </w:rPr>
              <w:t>éviter</w:t>
            </w:r>
            <w:proofErr w:type="spellEnd"/>
            <w:r>
              <w:rPr>
                <w:rFonts w:ascii="Cambria" w:eastAsia="Times New Roman" w:hAnsi="Cambria" w:cs="Times New Roman"/>
                <w:color w:val="000000"/>
                <w:sz w:val="16"/>
                <w:szCs w:val="16"/>
                <w:lang w:val="en-US"/>
              </w:rPr>
              <w:t>)</w:t>
            </w:r>
          </w:p>
        </w:tc>
        <w:tc>
          <w:tcPr>
            <w:tcW w:w="0" w:type="auto"/>
            <w:tcBorders>
              <w:top w:val="single" w:sz="8" w:space="0" w:color="404040"/>
              <w:bottom w:val="single" w:sz="8" w:space="0" w:color="404040"/>
              <w:right w:val="single" w:sz="8" w:space="0" w:color="404040"/>
            </w:tcBorders>
            <w:shd w:val="clear" w:color="auto" w:fill="C0C0C0"/>
            <w:tcMar>
              <w:top w:w="0" w:type="dxa"/>
              <w:left w:w="108" w:type="dxa"/>
              <w:bottom w:w="0" w:type="dxa"/>
              <w:right w:w="108" w:type="dxa"/>
            </w:tcMar>
            <w:hideMark/>
          </w:tcPr>
          <w:p w14:paraId="4216E99B" w14:textId="401B8415" w:rsidR="0085558B" w:rsidRPr="006F3307" w:rsidRDefault="0085558B" w:rsidP="0085558B">
            <w:pPr>
              <w:spacing w:after="200" w:line="240" w:lineRule="auto"/>
              <w:rPr>
                <w:rFonts w:ascii="Times New Roman" w:eastAsia="Times New Roman" w:hAnsi="Times New Roman" w:cs="Times New Roman"/>
                <w:sz w:val="24"/>
                <w:szCs w:val="24"/>
              </w:rPr>
            </w:pPr>
            <w:proofErr w:type="spellStart"/>
            <w:r>
              <w:rPr>
                <w:rFonts w:ascii="Cambria" w:eastAsia="Times New Roman" w:hAnsi="Cambria" w:cs="Times New Roman"/>
                <w:color w:val="000000"/>
                <w:sz w:val="16"/>
                <w:szCs w:val="16"/>
                <w:lang w:val="en-US"/>
              </w:rPr>
              <w:t>Risque</w:t>
            </w:r>
            <w:proofErr w:type="spellEnd"/>
            <w:r>
              <w:rPr>
                <w:rFonts w:ascii="Cambria" w:eastAsia="Times New Roman" w:hAnsi="Cambria" w:cs="Times New Roman"/>
                <w:color w:val="000000"/>
                <w:sz w:val="16"/>
                <w:szCs w:val="16"/>
                <w:lang w:val="en-US"/>
              </w:rPr>
              <w:t xml:space="preserve"> </w:t>
            </w:r>
            <w:proofErr w:type="spellStart"/>
            <w:r>
              <w:rPr>
                <w:rFonts w:ascii="Cambria" w:eastAsia="Times New Roman" w:hAnsi="Cambria" w:cs="Times New Roman"/>
                <w:color w:val="000000"/>
                <w:sz w:val="16"/>
                <w:szCs w:val="16"/>
                <w:lang w:val="en-US"/>
              </w:rPr>
              <w:t>élevé</w:t>
            </w:r>
            <w:proofErr w:type="spellEnd"/>
            <w:r>
              <w:rPr>
                <w:rFonts w:ascii="Cambria" w:eastAsia="Times New Roman" w:hAnsi="Cambria" w:cs="Times New Roman"/>
                <w:color w:val="000000"/>
                <w:sz w:val="16"/>
                <w:szCs w:val="16"/>
                <w:lang w:val="en-US"/>
              </w:rPr>
              <w:t xml:space="preserve"> (à </w:t>
            </w:r>
            <w:proofErr w:type="spellStart"/>
            <w:r>
              <w:rPr>
                <w:rFonts w:ascii="Cambria" w:eastAsia="Times New Roman" w:hAnsi="Cambria" w:cs="Times New Roman"/>
                <w:color w:val="000000"/>
                <w:sz w:val="16"/>
                <w:szCs w:val="16"/>
                <w:lang w:val="en-US"/>
              </w:rPr>
              <w:t>éviter</w:t>
            </w:r>
            <w:proofErr w:type="spellEnd"/>
            <w:r>
              <w:rPr>
                <w:rFonts w:ascii="Cambria" w:eastAsia="Times New Roman" w:hAnsi="Cambria" w:cs="Times New Roman"/>
                <w:color w:val="000000"/>
                <w:sz w:val="16"/>
                <w:szCs w:val="16"/>
                <w:lang w:val="en-US"/>
              </w:rPr>
              <w:t>)</w:t>
            </w:r>
          </w:p>
        </w:tc>
      </w:tr>
      <w:tr w:rsidR="0085558B" w:rsidRPr="006F3307" w14:paraId="098E9025" w14:textId="77777777" w:rsidTr="006F3307">
        <w:tc>
          <w:tcPr>
            <w:tcW w:w="0" w:type="auto"/>
            <w:tcBorders>
              <w:top w:val="single" w:sz="8" w:space="0" w:color="404040"/>
              <w:left w:val="single" w:sz="8" w:space="0" w:color="404040"/>
              <w:bottom w:val="single" w:sz="8" w:space="0" w:color="404040"/>
            </w:tcBorders>
            <w:tcMar>
              <w:top w:w="0" w:type="dxa"/>
              <w:left w:w="108" w:type="dxa"/>
              <w:bottom w:w="0" w:type="dxa"/>
              <w:right w:w="108" w:type="dxa"/>
            </w:tcMar>
            <w:hideMark/>
          </w:tcPr>
          <w:p w14:paraId="7697FEF1" w14:textId="77777777" w:rsidR="0085558B" w:rsidRPr="006F3307" w:rsidRDefault="0085558B" w:rsidP="0085558B">
            <w:pPr>
              <w:spacing w:after="200" w:line="240" w:lineRule="auto"/>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Metronidazole</w:t>
            </w:r>
          </w:p>
        </w:tc>
        <w:tc>
          <w:tcPr>
            <w:tcW w:w="0" w:type="auto"/>
            <w:tcBorders>
              <w:top w:val="single" w:sz="8" w:space="0" w:color="404040"/>
              <w:bottom w:val="single" w:sz="8" w:space="0" w:color="404040"/>
            </w:tcBorders>
            <w:tcMar>
              <w:top w:w="0" w:type="dxa"/>
              <w:left w:w="108" w:type="dxa"/>
              <w:bottom w:w="0" w:type="dxa"/>
              <w:right w:w="108" w:type="dxa"/>
            </w:tcMar>
            <w:hideMark/>
          </w:tcPr>
          <w:p w14:paraId="401C4B2D" w14:textId="2E690BED" w:rsidR="0085558B" w:rsidRPr="006F3307" w:rsidRDefault="0085558B" w:rsidP="0085558B">
            <w:pPr>
              <w:spacing w:after="200" w:line="240" w:lineRule="auto"/>
              <w:rPr>
                <w:rFonts w:ascii="Cambria" w:eastAsia="Times New Roman" w:hAnsi="Cambria" w:cs="Times New Roman"/>
                <w:sz w:val="24"/>
                <w:szCs w:val="24"/>
                <w:lang w:val="en-US"/>
              </w:rPr>
            </w:pPr>
            <w:proofErr w:type="spellStart"/>
            <w:r w:rsidRPr="0085558B">
              <w:rPr>
                <w:rFonts w:ascii="Cambria" w:eastAsia="Times New Roman" w:hAnsi="Cambria" w:cs="Times New Roman"/>
                <w:sz w:val="16"/>
                <w:szCs w:val="16"/>
                <w:lang w:val="en-US"/>
              </w:rPr>
              <w:t>Éviter</w:t>
            </w:r>
            <w:proofErr w:type="spellEnd"/>
            <w:r w:rsidRPr="0085558B">
              <w:rPr>
                <w:rFonts w:ascii="Cambria" w:eastAsia="Times New Roman" w:hAnsi="Cambria" w:cs="Times New Roman"/>
                <w:sz w:val="16"/>
                <w:szCs w:val="16"/>
                <w:lang w:val="en-US"/>
              </w:rPr>
              <w:t xml:space="preserve"> au 1er </w:t>
            </w:r>
            <w:proofErr w:type="spellStart"/>
            <w:r w:rsidRPr="0085558B">
              <w:rPr>
                <w:rFonts w:ascii="Cambria" w:eastAsia="Times New Roman" w:hAnsi="Cambria" w:cs="Times New Roman"/>
                <w:sz w:val="16"/>
                <w:szCs w:val="16"/>
                <w:lang w:val="en-US"/>
              </w:rPr>
              <w:t>trimestre</w:t>
            </w:r>
            <w:proofErr w:type="spellEnd"/>
          </w:p>
        </w:tc>
        <w:tc>
          <w:tcPr>
            <w:tcW w:w="0" w:type="auto"/>
            <w:tcBorders>
              <w:top w:val="single" w:sz="8" w:space="0" w:color="404040"/>
              <w:bottom w:val="single" w:sz="8" w:space="0" w:color="404040"/>
              <w:right w:val="single" w:sz="8" w:space="0" w:color="404040"/>
            </w:tcBorders>
            <w:tcMar>
              <w:top w:w="0" w:type="dxa"/>
              <w:left w:w="108" w:type="dxa"/>
              <w:bottom w:w="0" w:type="dxa"/>
              <w:right w:w="108" w:type="dxa"/>
            </w:tcMar>
            <w:hideMark/>
          </w:tcPr>
          <w:p w14:paraId="187CDF48" w14:textId="706A04B0" w:rsidR="0085558B" w:rsidRPr="006F3307" w:rsidRDefault="0085558B" w:rsidP="0085558B">
            <w:pPr>
              <w:spacing w:after="200" w:line="240" w:lineRule="auto"/>
              <w:rPr>
                <w:rFonts w:ascii="Times New Roman" w:eastAsia="Times New Roman" w:hAnsi="Times New Roman" w:cs="Times New Roman"/>
                <w:sz w:val="24"/>
                <w:szCs w:val="24"/>
              </w:rPr>
            </w:pPr>
            <w:proofErr w:type="spellStart"/>
            <w:r>
              <w:rPr>
                <w:rFonts w:ascii="Cambria" w:eastAsia="Times New Roman" w:hAnsi="Cambria" w:cs="Times New Roman"/>
                <w:color w:val="000000"/>
                <w:sz w:val="16"/>
                <w:szCs w:val="16"/>
                <w:lang w:val="en-US"/>
              </w:rPr>
              <w:t>Risque</w:t>
            </w:r>
            <w:proofErr w:type="spellEnd"/>
            <w:r>
              <w:rPr>
                <w:rFonts w:ascii="Cambria" w:eastAsia="Times New Roman" w:hAnsi="Cambria" w:cs="Times New Roman"/>
                <w:color w:val="000000"/>
                <w:sz w:val="16"/>
                <w:szCs w:val="16"/>
                <w:lang w:val="en-US"/>
              </w:rPr>
              <w:t xml:space="preserve"> </w:t>
            </w:r>
            <w:proofErr w:type="spellStart"/>
            <w:r>
              <w:rPr>
                <w:rFonts w:ascii="Cambria" w:eastAsia="Times New Roman" w:hAnsi="Cambria" w:cs="Times New Roman"/>
                <w:color w:val="000000"/>
                <w:sz w:val="16"/>
                <w:szCs w:val="16"/>
                <w:lang w:val="en-US"/>
              </w:rPr>
              <w:t>élevé</w:t>
            </w:r>
            <w:proofErr w:type="spellEnd"/>
            <w:r>
              <w:rPr>
                <w:rFonts w:ascii="Cambria" w:eastAsia="Times New Roman" w:hAnsi="Cambria" w:cs="Times New Roman"/>
                <w:color w:val="000000"/>
                <w:sz w:val="16"/>
                <w:szCs w:val="16"/>
                <w:lang w:val="en-US"/>
              </w:rPr>
              <w:t xml:space="preserve"> (à </w:t>
            </w:r>
            <w:proofErr w:type="spellStart"/>
            <w:r>
              <w:rPr>
                <w:rFonts w:ascii="Cambria" w:eastAsia="Times New Roman" w:hAnsi="Cambria" w:cs="Times New Roman"/>
                <w:color w:val="000000"/>
                <w:sz w:val="16"/>
                <w:szCs w:val="16"/>
                <w:lang w:val="en-US"/>
              </w:rPr>
              <w:t>éviter</w:t>
            </w:r>
            <w:proofErr w:type="spellEnd"/>
            <w:r>
              <w:rPr>
                <w:rFonts w:ascii="Cambria" w:eastAsia="Times New Roman" w:hAnsi="Cambria" w:cs="Times New Roman"/>
                <w:color w:val="000000"/>
                <w:sz w:val="16"/>
                <w:szCs w:val="16"/>
                <w:lang w:val="en-US"/>
              </w:rPr>
              <w:t>)</w:t>
            </w:r>
          </w:p>
        </w:tc>
      </w:tr>
      <w:tr w:rsidR="0085558B" w:rsidRPr="006F3307" w14:paraId="34BAA657" w14:textId="77777777" w:rsidTr="006F3307">
        <w:tc>
          <w:tcPr>
            <w:tcW w:w="0" w:type="auto"/>
            <w:tcBorders>
              <w:top w:val="single" w:sz="8" w:space="0" w:color="404040"/>
              <w:left w:val="single" w:sz="8" w:space="0" w:color="404040"/>
              <w:bottom w:val="single" w:sz="8" w:space="0" w:color="404040"/>
            </w:tcBorders>
            <w:shd w:val="clear" w:color="auto" w:fill="C0C0C0"/>
            <w:tcMar>
              <w:top w:w="0" w:type="dxa"/>
              <w:left w:w="108" w:type="dxa"/>
              <w:bottom w:w="0" w:type="dxa"/>
              <w:right w:w="108" w:type="dxa"/>
            </w:tcMar>
            <w:hideMark/>
          </w:tcPr>
          <w:p w14:paraId="3D3C9DC1" w14:textId="77777777" w:rsidR="0085558B" w:rsidRPr="006F3307" w:rsidRDefault="0085558B" w:rsidP="0085558B">
            <w:pPr>
              <w:spacing w:after="200" w:line="240" w:lineRule="auto"/>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Ciprofloxacine</w:t>
            </w:r>
          </w:p>
        </w:tc>
        <w:tc>
          <w:tcPr>
            <w:tcW w:w="0" w:type="auto"/>
            <w:tcBorders>
              <w:top w:val="single" w:sz="8" w:space="0" w:color="404040"/>
              <w:bottom w:val="single" w:sz="8" w:space="0" w:color="404040"/>
            </w:tcBorders>
            <w:shd w:val="clear" w:color="auto" w:fill="C0C0C0"/>
            <w:tcMar>
              <w:top w:w="0" w:type="dxa"/>
              <w:left w:w="108" w:type="dxa"/>
              <w:bottom w:w="0" w:type="dxa"/>
              <w:right w:w="108" w:type="dxa"/>
            </w:tcMar>
            <w:hideMark/>
          </w:tcPr>
          <w:p w14:paraId="597CC56F" w14:textId="42E9E61F" w:rsidR="0085558B" w:rsidRPr="006F3307" w:rsidRDefault="0085558B" w:rsidP="0085558B">
            <w:pPr>
              <w:spacing w:after="200" w:line="240" w:lineRule="auto"/>
              <w:rPr>
                <w:rFonts w:ascii="Times New Roman" w:eastAsia="Times New Roman" w:hAnsi="Times New Roman" w:cs="Times New Roman"/>
                <w:sz w:val="24"/>
                <w:szCs w:val="24"/>
              </w:rPr>
            </w:pPr>
            <w:proofErr w:type="spellStart"/>
            <w:r w:rsidRPr="0085558B">
              <w:rPr>
                <w:rFonts w:ascii="Cambria" w:eastAsia="Times New Roman" w:hAnsi="Cambria" w:cs="Times New Roman"/>
                <w:sz w:val="16"/>
                <w:szCs w:val="16"/>
                <w:lang w:val="en-US"/>
              </w:rPr>
              <w:t>Éviter</w:t>
            </w:r>
            <w:proofErr w:type="spellEnd"/>
            <w:r w:rsidRPr="0085558B">
              <w:rPr>
                <w:rFonts w:ascii="Cambria" w:eastAsia="Times New Roman" w:hAnsi="Cambria" w:cs="Times New Roman"/>
                <w:sz w:val="16"/>
                <w:szCs w:val="16"/>
                <w:lang w:val="en-US"/>
              </w:rPr>
              <w:t xml:space="preserve"> au 1er </w:t>
            </w:r>
            <w:proofErr w:type="spellStart"/>
            <w:r w:rsidRPr="0085558B">
              <w:rPr>
                <w:rFonts w:ascii="Cambria" w:eastAsia="Times New Roman" w:hAnsi="Cambria" w:cs="Times New Roman"/>
                <w:sz w:val="16"/>
                <w:szCs w:val="16"/>
                <w:lang w:val="en-US"/>
              </w:rPr>
              <w:t>trimestre</w:t>
            </w:r>
            <w:proofErr w:type="spellEnd"/>
          </w:p>
        </w:tc>
        <w:tc>
          <w:tcPr>
            <w:tcW w:w="0" w:type="auto"/>
            <w:tcBorders>
              <w:top w:val="single" w:sz="8" w:space="0" w:color="404040"/>
              <w:bottom w:val="single" w:sz="8" w:space="0" w:color="404040"/>
              <w:right w:val="single" w:sz="8" w:space="0" w:color="404040"/>
            </w:tcBorders>
            <w:shd w:val="clear" w:color="auto" w:fill="C0C0C0"/>
            <w:tcMar>
              <w:top w:w="0" w:type="dxa"/>
              <w:left w:w="108" w:type="dxa"/>
              <w:bottom w:w="0" w:type="dxa"/>
              <w:right w:w="108" w:type="dxa"/>
            </w:tcMar>
            <w:hideMark/>
          </w:tcPr>
          <w:p w14:paraId="22AF28BD" w14:textId="4C8FD9BA" w:rsidR="0085558B" w:rsidRPr="006F3307" w:rsidRDefault="0085558B" w:rsidP="0085558B">
            <w:pPr>
              <w:spacing w:after="200" w:line="240" w:lineRule="auto"/>
              <w:rPr>
                <w:rFonts w:ascii="Times New Roman" w:eastAsia="Times New Roman" w:hAnsi="Times New Roman" w:cs="Times New Roman"/>
                <w:sz w:val="24"/>
                <w:szCs w:val="24"/>
              </w:rPr>
            </w:pPr>
            <w:r w:rsidRPr="0085558B">
              <w:rPr>
                <w:rFonts w:ascii="Cambria" w:eastAsia="Times New Roman" w:hAnsi="Cambria" w:cs="Times New Roman"/>
                <w:color w:val="000000"/>
                <w:sz w:val="16"/>
                <w:szCs w:val="16"/>
                <w:lang w:val="fr-BE"/>
              </w:rPr>
              <w:t>Risque faible</w:t>
            </w:r>
            <w:r w:rsidRPr="006F3307">
              <w:rPr>
                <w:rFonts w:ascii="Cambria" w:eastAsia="Times New Roman" w:hAnsi="Cambria" w:cs="Times New Roman"/>
                <w:color w:val="000000"/>
                <w:sz w:val="16"/>
                <w:szCs w:val="16"/>
              </w:rPr>
              <w:t xml:space="preserve">, </w:t>
            </w:r>
            <w:r w:rsidRPr="0085558B">
              <w:rPr>
                <w:rFonts w:ascii="Cambria" w:eastAsia="Times New Roman" w:hAnsi="Cambria" w:cs="Times New Roman"/>
                <w:color w:val="000000"/>
                <w:sz w:val="16"/>
                <w:szCs w:val="16"/>
                <w:lang w:val="fr-BE"/>
              </w:rPr>
              <w:t>intervalle de 4 h</w:t>
            </w:r>
            <w:r>
              <w:rPr>
                <w:rFonts w:ascii="Cambria" w:eastAsia="Times New Roman" w:hAnsi="Cambria" w:cs="Times New Roman"/>
                <w:color w:val="000000"/>
                <w:sz w:val="16"/>
                <w:szCs w:val="16"/>
                <w:lang w:val="fr-BE"/>
              </w:rPr>
              <w:t>eurs entre la prise et l’allaitement</w:t>
            </w:r>
          </w:p>
        </w:tc>
      </w:tr>
      <w:tr w:rsidR="0085558B" w:rsidRPr="006F3307" w14:paraId="36A22A75" w14:textId="77777777" w:rsidTr="006F3307">
        <w:tc>
          <w:tcPr>
            <w:tcW w:w="0" w:type="auto"/>
            <w:tcBorders>
              <w:top w:val="single" w:sz="8" w:space="0" w:color="404040"/>
              <w:left w:val="single" w:sz="8" w:space="0" w:color="404040"/>
              <w:bottom w:val="single" w:sz="8" w:space="0" w:color="404040"/>
            </w:tcBorders>
            <w:tcMar>
              <w:top w:w="0" w:type="dxa"/>
              <w:left w:w="108" w:type="dxa"/>
              <w:bottom w:w="0" w:type="dxa"/>
              <w:right w:w="108" w:type="dxa"/>
            </w:tcMar>
            <w:hideMark/>
          </w:tcPr>
          <w:p w14:paraId="778C1C9D" w14:textId="77777777" w:rsidR="0085558B" w:rsidRPr="006F3307" w:rsidRDefault="0085558B" w:rsidP="0085558B">
            <w:pPr>
              <w:spacing w:after="200" w:line="240" w:lineRule="auto"/>
              <w:jc w:val="both"/>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Infliximab, adalimumab</w:t>
            </w:r>
          </w:p>
        </w:tc>
        <w:tc>
          <w:tcPr>
            <w:tcW w:w="0" w:type="auto"/>
            <w:tcBorders>
              <w:top w:val="single" w:sz="8" w:space="0" w:color="404040"/>
              <w:bottom w:val="single" w:sz="8" w:space="0" w:color="404040"/>
            </w:tcBorders>
            <w:tcMar>
              <w:top w:w="0" w:type="dxa"/>
              <w:left w:w="108" w:type="dxa"/>
              <w:bottom w:w="0" w:type="dxa"/>
              <w:right w:w="108" w:type="dxa"/>
            </w:tcMar>
            <w:hideMark/>
          </w:tcPr>
          <w:p w14:paraId="5532980A" w14:textId="4C56790D" w:rsidR="0085558B" w:rsidRPr="006F3307" w:rsidRDefault="0085558B" w:rsidP="0085558B">
            <w:pPr>
              <w:spacing w:after="200" w:line="240" w:lineRule="auto"/>
              <w:rPr>
                <w:rFonts w:ascii="Times New Roman" w:eastAsia="Times New Roman" w:hAnsi="Times New Roman" w:cs="Times New Roman"/>
                <w:sz w:val="24"/>
                <w:szCs w:val="24"/>
              </w:rPr>
            </w:pPr>
            <w:proofErr w:type="spellStart"/>
            <w:r w:rsidRPr="0085558B">
              <w:rPr>
                <w:rFonts w:ascii="Cambria" w:eastAsia="Times New Roman" w:hAnsi="Cambria" w:cs="Times New Roman"/>
                <w:sz w:val="16"/>
                <w:szCs w:val="16"/>
                <w:lang w:val="en-US"/>
              </w:rPr>
              <w:t>Risque</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faible</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en</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monothérapie</w:t>
            </w:r>
            <w:proofErr w:type="spellEnd"/>
          </w:p>
        </w:tc>
        <w:tc>
          <w:tcPr>
            <w:tcW w:w="0" w:type="auto"/>
            <w:tcBorders>
              <w:top w:val="single" w:sz="8" w:space="0" w:color="404040"/>
              <w:bottom w:val="single" w:sz="8" w:space="0" w:color="404040"/>
              <w:right w:val="single" w:sz="8" w:space="0" w:color="404040"/>
            </w:tcBorders>
            <w:tcMar>
              <w:top w:w="0" w:type="dxa"/>
              <w:left w:w="108" w:type="dxa"/>
              <w:bottom w:w="0" w:type="dxa"/>
              <w:right w:w="108" w:type="dxa"/>
            </w:tcMar>
            <w:hideMark/>
          </w:tcPr>
          <w:p w14:paraId="10FF8BC8" w14:textId="4CFB226E" w:rsidR="0085558B" w:rsidRPr="006F3307" w:rsidRDefault="0085558B" w:rsidP="0085558B">
            <w:pPr>
              <w:spacing w:after="200" w:line="240" w:lineRule="auto"/>
              <w:jc w:val="both"/>
              <w:rPr>
                <w:rFonts w:ascii="Times New Roman" w:eastAsia="Times New Roman" w:hAnsi="Times New Roman" w:cs="Times New Roman"/>
                <w:sz w:val="24"/>
                <w:szCs w:val="24"/>
              </w:rPr>
            </w:pPr>
            <w:proofErr w:type="spellStart"/>
            <w:r w:rsidRPr="00F030FC">
              <w:rPr>
                <w:rFonts w:ascii="Cambria" w:eastAsia="Times New Roman" w:hAnsi="Cambria" w:cs="Times New Roman"/>
                <w:sz w:val="16"/>
                <w:szCs w:val="16"/>
                <w:lang w:val="en-US"/>
              </w:rPr>
              <w:t>Risque</w:t>
            </w:r>
            <w:proofErr w:type="spellEnd"/>
            <w:r w:rsidRPr="00F030FC">
              <w:rPr>
                <w:rFonts w:ascii="Cambria" w:eastAsia="Times New Roman" w:hAnsi="Cambria" w:cs="Times New Roman"/>
                <w:sz w:val="16"/>
                <w:szCs w:val="16"/>
                <w:lang w:val="en-US"/>
              </w:rPr>
              <w:t xml:space="preserve"> </w:t>
            </w:r>
            <w:proofErr w:type="spellStart"/>
            <w:r w:rsidRPr="00F030FC">
              <w:rPr>
                <w:rFonts w:ascii="Cambria" w:eastAsia="Times New Roman" w:hAnsi="Cambria" w:cs="Times New Roman"/>
                <w:sz w:val="16"/>
                <w:szCs w:val="16"/>
                <w:lang w:val="en-US"/>
              </w:rPr>
              <w:t>faible</w:t>
            </w:r>
            <w:proofErr w:type="spellEnd"/>
          </w:p>
        </w:tc>
      </w:tr>
      <w:tr w:rsidR="0085558B" w:rsidRPr="006F3307" w14:paraId="63ACA135" w14:textId="77777777" w:rsidTr="006F3307">
        <w:tc>
          <w:tcPr>
            <w:tcW w:w="0" w:type="auto"/>
            <w:tcBorders>
              <w:top w:val="single" w:sz="8" w:space="0" w:color="404040"/>
              <w:left w:val="single" w:sz="8" w:space="0" w:color="404040"/>
              <w:bottom w:val="single" w:sz="8" w:space="0" w:color="404040"/>
            </w:tcBorders>
            <w:shd w:val="clear" w:color="auto" w:fill="C0C0C0"/>
            <w:tcMar>
              <w:top w:w="0" w:type="dxa"/>
              <w:left w:w="108" w:type="dxa"/>
              <w:bottom w:w="0" w:type="dxa"/>
              <w:right w:w="108" w:type="dxa"/>
            </w:tcMar>
            <w:hideMark/>
          </w:tcPr>
          <w:p w14:paraId="0643AA31" w14:textId="77777777" w:rsidR="0085558B" w:rsidRPr="006F3307" w:rsidRDefault="0085558B" w:rsidP="0085558B">
            <w:pPr>
              <w:spacing w:after="200" w:line="240" w:lineRule="auto"/>
              <w:jc w:val="both"/>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Vedolizumab</w:t>
            </w:r>
          </w:p>
        </w:tc>
        <w:tc>
          <w:tcPr>
            <w:tcW w:w="0" w:type="auto"/>
            <w:tcBorders>
              <w:top w:val="single" w:sz="8" w:space="0" w:color="404040"/>
              <w:bottom w:val="single" w:sz="8" w:space="0" w:color="404040"/>
            </w:tcBorders>
            <w:shd w:val="clear" w:color="auto" w:fill="C0C0C0"/>
            <w:tcMar>
              <w:top w:w="0" w:type="dxa"/>
              <w:left w:w="108" w:type="dxa"/>
              <w:bottom w:w="0" w:type="dxa"/>
              <w:right w:w="108" w:type="dxa"/>
            </w:tcMar>
            <w:hideMark/>
          </w:tcPr>
          <w:p w14:paraId="6CE4CB8D" w14:textId="187E601A" w:rsidR="0085558B" w:rsidRPr="006F3307" w:rsidRDefault="0085558B" w:rsidP="0085558B">
            <w:pPr>
              <w:spacing w:after="200" w:line="240" w:lineRule="auto"/>
              <w:rPr>
                <w:rFonts w:ascii="Times New Roman" w:eastAsia="Times New Roman" w:hAnsi="Times New Roman" w:cs="Times New Roman"/>
                <w:sz w:val="24"/>
                <w:szCs w:val="24"/>
                <w:lang w:val="fr-BE"/>
              </w:rPr>
            </w:pPr>
            <w:r w:rsidRPr="0085558B">
              <w:rPr>
                <w:rFonts w:ascii="Cambria" w:eastAsia="Times New Roman" w:hAnsi="Cambria" w:cs="Times New Roman"/>
                <w:sz w:val="16"/>
                <w:szCs w:val="16"/>
                <w:lang w:val="fr-BE"/>
              </w:rPr>
              <w:t>Risque faible en monothérapie</w:t>
            </w:r>
            <w:r w:rsidR="00943F1A">
              <w:rPr>
                <w:rFonts w:ascii="Cambria" w:eastAsia="Times New Roman" w:hAnsi="Cambria" w:cs="Times New Roman"/>
                <w:sz w:val="16"/>
                <w:szCs w:val="16"/>
                <w:lang w:val="fr-BE"/>
              </w:rPr>
              <w:t xml:space="preserve">, </w:t>
            </w:r>
            <w:r w:rsidRPr="0085558B">
              <w:rPr>
                <w:rFonts w:ascii="Cambria" w:eastAsia="Times New Roman" w:hAnsi="Cambria" w:cs="Times New Roman"/>
                <w:sz w:val="16"/>
                <w:szCs w:val="16"/>
                <w:lang w:val="fr-BE"/>
              </w:rPr>
              <w:t>d</w:t>
            </w:r>
            <w:r>
              <w:rPr>
                <w:rFonts w:ascii="Cambria" w:eastAsia="Times New Roman" w:hAnsi="Cambria" w:cs="Times New Roman"/>
                <w:sz w:val="16"/>
                <w:szCs w:val="16"/>
                <w:lang w:val="fr-BE"/>
              </w:rPr>
              <w:t xml:space="preserve">onnées </w:t>
            </w:r>
            <w:proofErr w:type="spellStart"/>
            <w:r>
              <w:rPr>
                <w:rFonts w:ascii="Cambria" w:eastAsia="Times New Roman" w:hAnsi="Cambria" w:cs="Times New Roman"/>
                <w:sz w:val="16"/>
                <w:szCs w:val="16"/>
                <w:lang w:val="fr-BE"/>
              </w:rPr>
              <w:t>limiteés</w:t>
            </w:r>
            <w:proofErr w:type="spellEnd"/>
          </w:p>
        </w:tc>
        <w:tc>
          <w:tcPr>
            <w:tcW w:w="0" w:type="auto"/>
            <w:tcBorders>
              <w:top w:val="single" w:sz="8" w:space="0" w:color="404040"/>
              <w:bottom w:val="single" w:sz="8" w:space="0" w:color="404040"/>
              <w:right w:val="single" w:sz="8" w:space="0" w:color="404040"/>
            </w:tcBorders>
            <w:shd w:val="clear" w:color="auto" w:fill="C0C0C0"/>
            <w:tcMar>
              <w:top w:w="0" w:type="dxa"/>
              <w:left w:w="108" w:type="dxa"/>
              <w:bottom w:w="0" w:type="dxa"/>
              <w:right w:w="108" w:type="dxa"/>
            </w:tcMar>
            <w:hideMark/>
          </w:tcPr>
          <w:p w14:paraId="2061D171" w14:textId="331C9A26" w:rsidR="0085558B" w:rsidRPr="006F3307" w:rsidRDefault="0085558B" w:rsidP="0085558B">
            <w:pPr>
              <w:spacing w:after="200" w:line="240" w:lineRule="auto"/>
              <w:jc w:val="both"/>
              <w:rPr>
                <w:rFonts w:ascii="Times New Roman" w:eastAsia="Times New Roman" w:hAnsi="Times New Roman" w:cs="Times New Roman"/>
                <w:sz w:val="24"/>
                <w:szCs w:val="24"/>
              </w:rPr>
            </w:pPr>
            <w:proofErr w:type="spellStart"/>
            <w:r w:rsidRPr="00F030FC">
              <w:rPr>
                <w:rFonts w:ascii="Cambria" w:eastAsia="Times New Roman" w:hAnsi="Cambria" w:cs="Times New Roman"/>
                <w:sz w:val="16"/>
                <w:szCs w:val="16"/>
                <w:lang w:val="en-US"/>
              </w:rPr>
              <w:t>Risque</w:t>
            </w:r>
            <w:proofErr w:type="spellEnd"/>
            <w:r w:rsidRPr="00F030FC">
              <w:rPr>
                <w:rFonts w:ascii="Cambria" w:eastAsia="Times New Roman" w:hAnsi="Cambria" w:cs="Times New Roman"/>
                <w:sz w:val="16"/>
                <w:szCs w:val="16"/>
                <w:lang w:val="en-US"/>
              </w:rPr>
              <w:t xml:space="preserve"> </w:t>
            </w:r>
            <w:proofErr w:type="spellStart"/>
            <w:r w:rsidRPr="00F030FC">
              <w:rPr>
                <w:rFonts w:ascii="Cambria" w:eastAsia="Times New Roman" w:hAnsi="Cambria" w:cs="Times New Roman"/>
                <w:sz w:val="16"/>
                <w:szCs w:val="16"/>
                <w:lang w:val="en-US"/>
              </w:rPr>
              <w:t>faible</w:t>
            </w:r>
            <w:proofErr w:type="spellEnd"/>
          </w:p>
        </w:tc>
      </w:tr>
      <w:tr w:rsidR="0085558B" w:rsidRPr="006F3307" w14:paraId="669E37DD" w14:textId="77777777" w:rsidTr="006F3307">
        <w:tc>
          <w:tcPr>
            <w:tcW w:w="0" w:type="auto"/>
            <w:tcBorders>
              <w:top w:val="single" w:sz="8" w:space="0" w:color="404040"/>
              <w:left w:val="single" w:sz="8" w:space="0" w:color="404040"/>
              <w:bottom w:val="single" w:sz="8" w:space="0" w:color="404040"/>
            </w:tcBorders>
            <w:tcMar>
              <w:top w:w="0" w:type="dxa"/>
              <w:left w:w="108" w:type="dxa"/>
              <w:bottom w:w="0" w:type="dxa"/>
              <w:right w:w="108" w:type="dxa"/>
            </w:tcMar>
            <w:hideMark/>
          </w:tcPr>
          <w:p w14:paraId="70B16131" w14:textId="77777777" w:rsidR="0085558B" w:rsidRPr="006F3307" w:rsidRDefault="0085558B" w:rsidP="0085558B">
            <w:pPr>
              <w:spacing w:after="200" w:line="240" w:lineRule="auto"/>
              <w:jc w:val="both"/>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Ustekinumab</w:t>
            </w:r>
          </w:p>
        </w:tc>
        <w:tc>
          <w:tcPr>
            <w:tcW w:w="0" w:type="auto"/>
            <w:tcBorders>
              <w:top w:val="single" w:sz="8" w:space="0" w:color="404040"/>
              <w:bottom w:val="single" w:sz="8" w:space="0" w:color="404040"/>
            </w:tcBorders>
            <w:tcMar>
              <w:top w:w="0" w:type="dxa"/>
              <w:left w:w="108" w:type="dxa"/>
              <w:bottom w:w="0" w:type="dxa"/>
              <w:right w:w="108" w:type="dxa"/>
            </w:tcMar>
            <w:hideMark/>
          </w:tcPr>
          <w:p w14:paraId="5FEA8711" w14:textId="27E1ED11" w:rsidR="0085558B" w:rsidRPr="006F3307" w:rsidRDefault="0085558B" w:rsidP="0085558B">
            <w:pPr>
              <w:spacing w:after="200" w:line="240" w:lineRule="auto"/>
              <w:rPr>
                <w:rFonts w:ascii="Times New Roman" w:eastAsia="Times New Roman" w:hAnsi="Times New Roman" w:cs="Times New Roman"/>
                <w:sz w:val="24"/>
                <w:szCs w:val="24"/>
              </w:rPr>
            </w:pPr>
            <w:r w:rsidRPr="0085558B">
              <w:rPr>
                <w:rFonts w:ascii="Cambria" w:eastAsia="Times New Roman" w:hAnsi="Cambria" w:cs="Times New Roman"/>
                <w:sz w:val="16"/>
                <w:szCs w:val="16"/>
                <w:lang w:val="fr-BE"/>
              </w:rPr>
              <w:t xml:space="preserve">Risque faible en monothérapie </w:t>
            </w:r>
            <w:r w:rsidR="00943F1A">
              <w:rPr>
                <w:rFonts w:ascii="Cambria" w:eastAsia="Times New Roman" w:hAnsi="Cambria" w:cs="Times New Roman"/>
                <w:sz w:val="16"/>
                <w:szCs w:val="16"/>
                <w:lang w:val="fr-BE"/>
              </w:rPr>
              <w:t>,</w:t>
            </w:r>
            <w:r w:rsidRPr="0085558B">
              <w:rPr>
                <w:rFonts w:ascii="Cambria" w:eastAsia="Times New Roman" w:hAnsi="Cambria" w:cs="Times New Roman"/>
                <w:sz w:val="16"/>
                <w:szCs w:val="16"/>
                <w:lang w:val="fr-BE"/>
              </w:rPr>
              <w:t>d</w:t>
            </w:r>
            <w:r>
              <w:rPr>
                <w:rFonts w:ascii="Cambria" w:eastAsia="Times New Roman" w:hAnsi="Cambria" w:cs="Times New Roman"/>
                <w:sz w:val="16"/>
                <w:szCs w:val="16"/>
                <w:lang w:val="fr-BE"/>
              </w:rPr>
              <w:t xml:space="preserve">onnées </w:t>
            </w:r>
            <w:proofErr w:type="spellStart"/>
            <w:r>
              <w:rPr>
                <w:rFonts w:ascii="Cambria" w:eastAsia="Times New Roman" w:hAnsi="Cambria" w:cs="Times New Roman"/>
                <w:sz w:val="16"/>
                <w:szCs w:val="16"/>
                <w:lang w:val="fr-BE"/>
              </w:rPr>
              <w:t>limiteés</w:t>
            </w:r>
            <w:proofErr w:type="spellEnd"/>
          </w:p>
        </w:tc>
        <w:tc>
          <w:tcPr>
            <w:tcW w:w="0" w:type="auto"/>
            <w:tcBorders>
              <w:top w:val="single" w:sz="8" w:space="0" w:color="404040"/>
              <w:bottom w:val="single" w:sz="8" w:space="0" w:color="404040"/>
              <w:right w:val="single" w:sz="8" w:space="0" w:color="404040"/>
            </w:tcBorders>
            <w:tcMar>
              <w:top w:w="0" w:type="dxa"/>
              <w:left w:w="108" w:type="dxa"/>
              <w:bottom w:w="0" w:type="dxa"/>
              <w:right w:w="108" w:type="dxa"/>
            </w:tcMar>
            <w:hideMark/>
          </w:tcPr>
          <w:p w14:paraId="434C712A" w14:textId="2904D697" w:rsidR="0085558B" w:rsidRPr="006F3307" w:rsidRDefault="0085558B" w:rsidP="0085558B">
            <w:pPr>
              <w:spacing w:after="200" w:line="240" w:lineRule="auto"/>
              <w:jc w:val="both"/>
              <w:rPr>
                <w:rFonts w:ascii="Times New Roman" w:eastAsia="Times New Roman" w:hAnsi="Times New Roman" w:cs="Times New Roman"/>
                <w:sz w:val="24"/>
                <w:szCs w:val="24"/>
              </w:rPr>
            </w:pPr>
            <w:proofErr w:type="spellStart"/>
            <w:r w:rsidRPr="00F030FC">
              <w:rPr>
                <w:rFonts w:ascii="Cambria" w:eastAsia="Times New Roman" w:hAnsi="Cambria" w:cs="Times New Roman"/>
                <w:sz w:val="16"/>
                <w:szCs w:val="16"/>
                <w:lang w:val="en-US"/>
              </w:rPr>
              <w:t>Risque</w:t>
            </w:r>
            <w:proofErr w:type="spellEnd"/>
            <w:r w:rsidRPr="00F030FC">
              <w:rPr>
                <w:rFonts w:ascii="Cambria" w:eastAsia="Times New Roman" w:hAnsi="Cambria" w:cs="Times New Roman"/>
                <w:sz w:val="16"/>
                <w:szCs w:val="16"/>
                <w:lang w:val="en-US"/>
              </w:rPr>
              <w:t xml:space="preserve"> </w:t>
            </w:r>
            <w:proofErr w:type="spellStart"/>
            <w:r w:rsidRPr="00F030FC">
              <w:rPr>
                <w:rFonts w:ascii="Cambria" w:eastAsia="Times New Roman" w:hAnsi="Cambria" w:cs="Times New Roman"/>
                <w:sz w:val="16"/>
                <w:szCs w:val="16"/>
                <w:lang w:val="en-US"/>
              </w:rPr>
              <w:t>faible</w:t>
            </w:r>
            <w:proofErr w:type="spellEnd"/>
          </w:p>
        </w:tc>
      </w:tr>
      <w:tr w:rsidR="0085558B" w:rsidRPr="006F3307" w14:paraId="33A40B86" w14:textId="77777777" w:rsidTr="006F3307">
        <w:tc>
          <w:tcPr>
            <w:tcW w:w="0" w:type="auto"/>
            <w:tcBorders>
              <w:top w:val="single" w:sz="8" w:space="0" w:color="404040"/>
              <w:left w:val="single" w:sz="8" w:space="0" w:color="404040"/>
              <w:bottom w:val="single" w:sz="8" w:space="0" w:color="404040"/>
            </w:tcBorders>
            <w:shd w:val="clear" w:color="auto" w:fill="C0C0C0"/>
            <w:tcMar>
              <w:top w:w="0" w:type="dxa"/>
              <w:left w:w="108" w:type="dxa"/>
              <w:bottom w:w="0" w:type="dxa"/>
              <w:right w:w="108" w:type="dxa"/>
            </w:tcMar>
            <w:hideMark/>
          </w:tcPr>
          <w:p w14:paraId="5ED210CB" w14:textId="77777777" w:rsidR="0085558B" w:rsidRPr="006F3307" w:rsidRDefault="0085558B" w:rsidP="0085558B">
            <w:pPr>
              <w:spacing w:after="200" w:line="240" w:lineRule="auto"/>
              <w:jc w:val="both"/>
              <w:rPr>
                <w:rFonts w:ascii="Times New Roman" w:eastAsia="Times New Roman" w:hAnsi="Times New Roman" w:cs="Times New Roman"/>
                <w:sz w:val="24"/>
                <w:szCs w:val="24"/>
              </w:rPr>
            </w:pPr>
            <w:r w:rsidRPr="006F3307">
              <w:rPr>
                <w:rFonts w:ascii="Cambria" w:eastAsia="Times New Roman" w:hAnsi="Cambria" w:cs="Times New Roman"/>
                <w:color w:val="000000"/>
                <w:sz w:val="16"/>
                <w:szCs w:val="16"/>
              </w:rPr>
              <w:t>Tofacitinib</w:t>
            </w:r>
          </w:p>
        </w:tc>
        <w:tc>
          <w:tcPr>
            <w:tcW w:w="0" w:type="auto"/>
            <w:tcBorders>
              <w:top w:val="single" w:sz="8" w:space="0" w:color="404040"/>
              <w:bottom w:val="single" w:sz="8" w:space="0" w:color="404040"/>
            </w:tcBorders>
            <w:shd w:val="clear" w:color="auto" w:fill="C0C0C0"/>
            <w:tcMar>
              <w:top w:w="0" w:type="dxa"/>
              <w:left w:w="108" w:type="dxa"/>
              <w:bottom w:w="0" w:type="dxa"/>
              <w:right w:w="108" w:type="dxa"/>
            </w:tcMar>
            <w:hideMark/>
          </w:tcPr>
          <w:p w14:paraId="3BDB3116" w14:textId="33907C4A" w:rsidR="0085558B" w:rsidRPr="006F3307" w:rsidRDefault="0085558B" w:rsidP="0085558B">
            <w:pPr>
              <w:spacing w:after="200" w:line="240" w:lineRule="auto"/>
              <w:rPr>
                <w:rFonts w:ascii="Cambria" w:eastAsia="Times New Roman" w:hAnsi="Cambria" w:cs="Times New Roman"/>
                <w:sz w:val="24"/>
                <w:szCs w:val="24"/>
                <w:lang w:val="fr-BE"/>
              </w:rPr>
            </w:pPr>
            <w:r w:rsidRPr="0085558B">
              <w:rPr>
                <w:rFonts w:ascii="Cambria" w:eastAsia="Times New Roman" w:hAnsi="Cambria" w:cs="Times New Roman"/>
                <w:sz w:val="16"/>
                <w:szCs w:val="16"/>
                <w:lang w:val="fr-BE"/>
              </w:rPr>
              <w:t>Données limitées (grossesse non recommandée)</w:t>
            </w:r>
          </w:p>
        </w:tc>
        <w:tc>
          <w:tcPr>
            <w:tcW w:w="0" w:type="auto"/>
            <w:tcBorders>
              <w:top w:val="single" w:sz="8" w:space="0" w:color="404040"/>
              <w:bottom w:val="single" w:sz="8" w:space="0" w:color="404040"/>
              <w:right w:val="single" w:sz="8" w:space="0" w:color="404040"/>
            </w:tcBorders>
            <w:shd w:val="clear" w:color="auto" w:fill="C0C0C0"/>
            <w:tcMar>
              <w:top w:w="0" w:type="dxa"/>
              <w:left w:w="108" w:type="dxa"/>
              <w:bottom w:w="0" w:type="dxa"/>
              <w:right w:w="108" w:type="dxa"/>
            </w:tcMar>
            <w:hideMark/>
          </w:tcPr>
          <w:p w14:paraId="62F6DDB3" w14:textId="0B948B0F" w:rsidR="0085558B" w:rsidRPr="006F3307" w:rsidRDefault="0085558B" w:rsidP="0085558B">
            <w:pPr>
              <w:spacing w:after="200" w:line="240" w:lineRule="auto"/>
              <w:jc w:val="both"/>
              <w:rPr>
                <w:rFonts w:ascii="Cambria" w:eastAsia="Times New Roman" w:hAnsi="Cambria" w:cs="Times New Roman"/>
                <w:sz w:val="24"/>
                <w:szCs w:val="24"/>
                <w:lang w:val="en-US"/>
              </w:rPr>
            </w:pPr>
            <w:proofErr w:type="spellStart"/>
            <w:r w:rsidRPr="0085558B">
              <w:rPr>
                <w:rFonts w:ascii="Cambria" w:eastAsia="Times New Roman" w:hAnsi="Cambria" w:cs="Times New Roman"/>
                <w:sz w:val="16"/>
                <w:szCs w:val="16"/>
                <w:lang w:val="en-US"/>
              </w:rPr>
              <w:t>Données</w:t>
            </w:r>
            <w:proofErr w:type="spellEnd"/>
            <w:r w:rsidRPr="0085558B">
              <w:rPr>
                <w:rFonts w:ascii="Cambria" w:eastAsia="Times New Roman" w:hAnsi="Cambria" w:cs="Times New Roman"/>
                <w:sz w:val="16"/>
                <w:szCs w:val="16"/>
                <w:lang w:val="en-US"/>
              </w:rPr>
              <w:t xml:space="preserve"> </w:t>
            </w:r>
            <w:proofErr w:type="spellStart"/>
            <w:r w:rsidRPr="0085558B">
              <w:rPr>
                <w:rFonts w:ascii="Cambria" w:eastAsia="Times New Roman" w:hAnsi="Cambria" w:cs="Times New Roman"/>
                <w:sz w:val="16"/>
                <w:szCs w:val="16"/>
                <w:lang w:val="en-US"/>
              </w:rPr>
              <w:t>limitées</w:t>
            </w:r>
            <w:proofErr w:type="spellEnd"/>
          </w:p>
        </w:tc>
      </w:tr>
    </w:tbl>
    <w:p w14:paraId="26A8504C" w14:textId="77777777" w:rsidR="00D31069" w:rsidRDefault="00886EA6"/>
    <w:sectPr w:rsidR="00D31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07"/>
    <w:rsid w:val="00046A35"/>
    <w:rsid w:val="00320852"/>
    <w:rsid w:val="003E6A6C"/>
    <w:rsid w:val="00461A6E"/>
    <w:rsid w:val="00495C0B"/>
    <w:rsid w:val="004D496B"/>
    <w:rsid w:val="004E3DE1"/>
    <w:rsid w:val="006F3307"/>
    <w:rsid w:val="0082034E"/>
    <w:rsid w:val="0085558B"/>
    <w:rsid w:val="00885945"/>
    <w:rsid w:val="00886EA6"/>
    <w:rsid w:val="008A2908"/>
    <w:rsid w:val="008E3BFC"/>
    <w:rsid w:val="00943F1A"/>
    <w:rsid w:val="00995DA0"/>
    <w:rsid w:val="00BC3414"/>
    <w:rsid w:val="00D6211C"/>
    <w:rsid w:val="00F7250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CC66"/>
  <w15:chartTrackingRefBased/>
  <w15:docId w15:val="{F3CDAB54-D260-40DF-80ED-9073BD93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30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85945"/>
    <w:pPr>
      <w:spacing w:after="0" w:line="240" w:lineRule="auto"/>
    </w:pPr>
  </w:style>
  <w:style w:type="paragraph" w:styleId="BalloonText">
    <w:name w:val="Balloon Text"/>
    <w:basedOn w:val="Normal"/>
    <w:link w:val="BalloonTextChar"/>
    <w:uiPriority w:val="99"/>
    <w:semiHidden/>
    <w:unhideWhenUsed/>
    <w:rsid w:val="0088594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59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702122">
      <w:bodyDiv w:val="1"/>
      <w:marLeft w:val="0"/>
      <w:marRight w:val="0"/>
      <w:marTop w:val="0"/>
      <w:marBottom w:val="0"/>
      <w:divBdr>
        <w:top w:val="none" w:sz="0" w:space="0" w:color="auto"/>
        <w:left w:val="none" w:sz="0" w:space="0" w:color="auto"/>
        <w:bottom w:val="none" w:sz="0" w:space="0" w:color="auto"/>
        <w:right w:val="none" w:sz="0" w:space="0" w:color="auto"/>
      </w:divBdr>
      <w:divsChild>
        <w:div w:id="3889636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2cc32a-a7dc-451c-9540-61fc20966643" xsi:nil="true"/>
    <lcf76f155ced4ddcb4097134ff3c332f xmlns="ceb0232a-c50c-47d2-a510-1cad2fe58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72D649CCD5247BBFEAFD500527867" ma:contentTypeVersion="10" ma:contentTypeDescription="Create a new document." ma:contentTypeScope="" ma:versionID="27477f6b717ded8f9da1ee1f7f140d5b">
  <xsd:schema xmlns:xsd="http://www.w3.org/2001/XMLSchema" xmlns:xs="http://www.w3.org/2001/XMLSchema" xmlns:p="http://schemas.microsoft.com/office/2006/metadata/properties" xmlns:ns2="ceb0232a-c50c-47d2-a510-1cad2fe58584" xmlns:ns3="832cc32a-a7dc-451c-9540-61fc20966643" targetNamespace="http://schemas.microsoft.com/office/2006/metadata/properties" ma:root="true" ma:fieldsID="8d3e948ddb80a2c922112b6779bab2da" ns2:_="" ns3:_="">
    <xsd:import namespace="ceb0232a-c50c-47d2-a510-1cad2fe58584"/>
    <xsd:import namespace="832cc32a-a7dc-451c-9540-61fc20966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232a-c50c-47d2-a510-1cad2fe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2cd70-e46c-40b9-961b-1dea469c9e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c32a-a7dc-451c-9540-61fc2096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1ba5-99d2-426f-befb-0f39c73b440a}" ma:internalName="TaxCatchAll" ma:showField="CatchAllData" ma:web="832cc32a-a7dc-451c-9540-61fc2096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AFB6C-3620-4819-8212-58D63D92CB47}">
  <ds:schemaRefs>
    <ds:schemaRef ds:uri="http://schemas.microsoft.com/sharepoint/v3/contenttype/forms"/>
  </ds:schemaRefs>
</ds:datastoreItem>
</file>

<file path=customXml/itemProps2.xml><?xml version="1.0" encoding="utf-8"?>
<ds:datastoreItem xmlns:ds="http://schemas.openxmlformats.org/officeDocument/2006/customXml" ds:itemID="{FCEF5585-5E68-4AE2-910C-52167EFB0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F230E9-49D9-4824-BC30-1917929B914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Jennie Donaldson</cp:lastModifiedBy>
  <cp:revision>3</cp:revision>
  <dcterms:created xsi:type="dcterms:W3CDTF">2022-06-08T09:59:00Z</dcterms:created>
  <dcterms:modified xsi:type="dcterms:W3CDTF">2022-06-08T09:59:00Z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0x01010002372D649CCD5247BBFEAFD500527867</vt:lpwstr>
  </property>
</Properties>
</file>